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r w:rsidDel="00000000" w:rsidR="00000000" w:rsidRPr="00000000">
        <w:rPr>
          <w:rtl w:val="0"/>
        </w:rPr>
        <w:t xml:space="preserve">SCHEDA PER L’ INDIVIDUAZIONE DEI DOCENTI SOPRANNUMERARI RELATIVAMENTE ALL’ORGANICO A.S.2024-25</w:t>
      </w:r>
    </w:p>
    <w:p w:rsidR="00000000" w:rsidDel="00000000" w:rsidP="00000000" w:rsidRDefault="00000000" w:rsidRPr="00000000" w14:paraId="00000002">
      <w:pPr>
        <w:tabs>
          <w:tab w:val="left" w:leader="none" w:pos="9548"/>
        </w:tabs>
        <w:spacing w:before="3" w:lineRule="auto"/>
        <w:ind w:left="10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Il/La sottoscritto/a  ...........................................................................nato/a ............................................(prov</w:t>
        <w:tab/>
        <w:t xml:space="preserve">)</w:t>
      </w:r>
    </w:p>
    <w:p w:rsidR="00000000" w:rsidDel="00000000" w:rsidP="00000000" w:rsidRDefault="00000000" w:rsidRPr="00000000" w14:paraId="00000003">
      <w:pPr>
        <w:spacing w:line="242.99999999999997" w:lineRule="auto"/>
        <w:ind w:left="10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Il .......................................residente in ...........................................................................................................................</w:t>
      </w:r>
    </w:p>
    <w:p w:rsidR="00000000" w:rsidDel="00000000" w:rsidP="00000000" w:rsidRDefault="00000000" w:rsidRPr="00000000" w14:paraId="00000004">
      <w:pPr>
        <w:tabs>
          <w:tab w:val="left" w:leader="none" w:pos="8185"/>
        </w:tabs>
        <w:spacing w:line="242.99999999999997" w:lineRule="auto"/>
        <w:ind w:left="10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Insegnante di scuola.............................................................................................(cl.di conc.</w:t>
        <w:tab/>
        <w:t xml:space="preserve">)</w:t>
      </w:r>
    </w:p>
    <w:p w:rsidR="00000000" w:rsidDel="00000000" w:rsidP="00000000" w:rsidRDefault="00000000" w:rsidRPr="00000000" w14:paraId="00000005">
      <w:pPr>
        <w:spacing w:before="1" w:lineRule="auto"/>
        <w:ind w:left="10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titolare presso la Scuola..........................................................................di............................dall’A.S................. con dec giuridica dal</w:t>
      </w:r>
    </w:p>
    <w:p w:rsidR="00000000" w:rsidDel="00000000" w:rsidP="00000000" w:rsidRDefault="00000000" w:rsidRPr="00000000" w14:paraId="00000006">
      <w:pPr>
        <w:spacing w:before="1" w:line="242.99999999999997" w:lineRule="auto"/>
        <w:ind w:left="10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07">
      <w:pPr>
        <w:tabs>
          <w:tab w:val="left" w:leader="none" w:pos="7179"/>
        </w:tabs>
        <w:spacing w:line="242.99999999999997" w:lineRule="auto"/>
        <w:ind w:left="107"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immesso in ruolo ai sensi con effettiva assunzione in servizio dal ……\......\</w:t>
        <w:tab/>
        <w:t xml:space="preserve">ai fini della formulazione della graduatoria di</w:t>
      </w:r>
    </w:p>
    <w:p w:rsidR="00000000" w:rsidDel="00000000" w:rsidP="00000000" w:rsidRDefault="00000000" w:rsidRPr="00000000" w14:paraId="00000008">
      <w:pPr>
        <w:ind w:left="107"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istituto prevista dal CCNI sottoscritto in data 18/05/2022 sulla mobilità per il triennio 2022/2025 ,</w:t>
      </w:r>
    </w:p>
    <w:p w:rsidR="00000000" w:rsidDel="00000000" w:rsidP="00000000" w:rsidRDefault="00000000" w:rsidRPr="00000000" w14:paraId="00000009">
      <w:pPr>
        <w:spacing w:before="1" w:lineRule="auto"/>
        <w:ind w:left="107" w:right="630" w:firstLine="0"/>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consapevole delle responsabilità penali e civili cui va incontro in caso di dichiarazione non corrispondente al vero, ai sensi del DPR 445/2000, così come modificato ed integrato dall’art. 15 della L.16/01/2003 e dall’art.15 comma 1 della Legge 183/2011 , sotto la propria responsabilità:</w:t>
      </w:r>
    </w:p>
    <w:p w:rsidR="00000000" w:rsidDel="00000000" w:rsidP="00000000" w:rsidRDefault="00000000" w:rsidRPr="00000000" w14:paraId="0000000A">
      <w:pPr>
        <w:ind w:right="318"/>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DICHIARA</w:t>
      </w:r>
    </w:p>
    <w:tbl>
      <w:tblPr>
        <w:tblStyle w:val="Table1"/>
        <w:tblW w:w="11054.0"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82"/>
        <w:gridCol w:w="1136"/>
        <w:gridCol w:w="708"/>
        <w:gridCol w:w="1128"/>
        <w:tblGridChange w:id="0">
          <w:tblGrid>
            <w:gridCol w:w="8082"/>
            <w:gridCol w:w="1136"/>
            <w:gridCol w:w="708"/>
            <w:gridCol w:w="1128"/>
          </w:tblGrid>
        </w:tblGridChange>
      </w:tblGrid>
      <w:tr>
        <w:trPr>
          <w:cantSplit w:val="0"/>
          <w:trHeight w:val="489" w:hRule="atLeast"/>
          <w:tblHeader w:val="0"/>
        </w:trPr>
        <w:tc>
          <w:tcPr>
            <w:gridSpan w:val="4"/>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TABELLA A) - TABELLA DI VALUTAZIONE DEI TITOLI AI FINI DEI TRASFERIMENTI A DOMANDA E D’UFFICIO DEL PERSONALE</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23"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DOCENTE ED EDUCATIVO</w:t>
            </w:r>
          </w:p>
        </w:tc>
      </w:tr>
      <w:tr>
        <w:trPr>
          <w:cantSplit w:val="0"/>
          <w:trHeight w:val="486" w:hRule="atLeast"/>
          <w:tblHeader w:val="0"/>
        </w:trPr>
        <w:tc>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A1 - ANZIANITÀ DI SERVIZIO</w:t>
            </w:r>
          </w:p>
        </w:tc>
        <w:tc>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Punteggio</w:t>
            </w:r>
          </w:p>
        </w:tc>
        <w:tc>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Anni</w:t>
            </w:r>
          </w:p>
        </w:tc>
        <w:tc>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2.99999999999997"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Ris. Al Dir.</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scolastico</w:t>
            </w:r>
          </w:p>
        </w:tc>
      </w:tr>
      <w:tr>
        <w:trPr>
          <w:cantSplit w:val="0"/>
          <w:trHeight w:val="489" w:hRule="atLeast"/>
          <w:tblHeader w:val="0"/>
        </w:trPr>
        <w:tc>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per ogni anno di servizio comunque prestato, successivamente alla decorrenza giuridica della nomina, nel ruolo di appartenenza (1)</w:t>
            </w:r>
          </w:p>
        </w:tc>
        <w:tc>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Punti 6</w:t>
            </w:r>
          </w:p>
        </w:tc>
        <w:tc>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2" w:hRule="atLeast"/>
          <w:tblHeader w:val="0"/>
        </w:trPr>
        <w:tc>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107" w:right="12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A1) per ogni anno di servizio effettivamente prestato (2) dopo la nomina nel ruolo di appartenenza (1) in scuole o istituti situati nelle piccole isole (3) in aggiunta al punteggio di cui al</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punto A)</w:t>
            </w:r>
          </w:p>
        </w:tc>
        <w:tc>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23"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Punti 6</w:t>
            </w:r>
          </w:p>
        </w:tc>
        <w:tc>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221" w:hRule="atLeast"/>
          <w:tblHeader w:val="0"/>
        </w:trPr>
        <w:tc>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15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 per ogni anno di servizio pre-ruolo o di altro servizio di ruolo riconosciuto o riconoscibile ai fini della carriera e per ogni anno di servizio pre-ruolo o di altro servizio di ruolo prestato nella scuola dell’infanzia (4):</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 la mobilità volontaria</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23"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 la mobilità d’ufficio (4)</w:t>
            </w:r>
          </w:p>
        </w:tc>
        <w:tc>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Punti 6</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Punti 3</w:t>
            </w:r>
          </w:p>
        </w:tc>
        <w:tc>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1465" w:hRule="atLeast"/>
          <w:tblHeader w:val="0"/>
        </w:trPr>
        <w:tc>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12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B1) per ogni anno di servizio pre-ruolo o di altro servizio di ruolo riconosciuto o riconoscibile ai fini della carriera o per ogni anno di servizio pre-ruolo o di altro servizio di ruolo nella scuola dell’infanzia, effettivamente prestato (2) in scuole o istituti situati nelle piccole isole (3) (4) in aggiunta al punteggio di cui al punto B)</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 la mobilità volontaria</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23"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 la mobilità d’ufficio (4)</w:t>
            </w:r>
          </w:p>
        </w:tc>
        <w:tc>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Punti 6</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23"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Punti 3</w:t>
            </w:r>
          </w:p>
        </w:tc>
        <w:tc>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731" w:hRule="atLeast"/>
          <w:tblHeader w:val="0"/>
        </w:trPr>
        <w:tc>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2.99999999999997"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 Per ogni anno di servizio di ruolo prestato nel comune di attuale titolarità o d’incarico</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15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triennale senza soluzione di continuità in aggiunta a quello previsto dalle lettere A), A1), B),B1)B2)</w:t>
            </w:r>
          </w:p>
        </w:tc>
        <w:tc>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Punti 1</w:t>
            </w:r>
          </w:p>
        </w:tc>
        <w:tc>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2440" w:hRule="atLeast"/>
          <w:tblHeader w:val="0"/>
        </w:trPr>
        <w:tc>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12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 per il servizio di ruolo prestato senza soluzione di continuità negli ultimi tre anni scolastici nella scuola di attuale titolarità o di precedente incarico triennale da ambito ovvero nella scuola di servizio per gli ex titolari di Dotazione Organica di Sostegno (DOS) nella scuola secondaria di secondo grado e per i docenti di religione cattolica (5) (in aggiunta a quello previsto dalle lettere A), A1),B),B1),B2)),</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280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(N.B.: per i trasferimenti d’ufficio si veda anche la nota 5 bis). Per ogni ulteriore anno di servizio:</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5914" w:firstLine="45"/>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entro il quinquennio oltre il quinquennio</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 il servizio prestato nelle piccole isole il punteggio si raddoppia</w:t>
            </w:r>
          </w:p>
        </w:tc>
        <w:tc>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4"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Punti 6</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Punti 2</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Punti 3</w:t>
            </w:r>
          </w:p>
        </w:tc>
        <w:tc>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rHeight w:val="978" w:hRule="atLeast"/>
          <w:tblHeader w:val="0"/>
        </w:trPr>
        <w:tc>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129"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 a coloro che, per un triennio, a decorrere dalle operazioni di mobilità per l’a.s. 2000/2001 e fino all’a.s. 2007/2008, non abbiano presentato domanda di trasferimento provinciale o passaggio provinciale o, pur avendo presentato domanda, l’abbiano revocata nei termini</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5"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previsti, è riconosciuto, per il predetto triennio, una tantum, un punteggio aggiuntivo di (5ter)</w:t>
            </w:r>
          </w:p>
        </w:tc>
        <w:tc>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25"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Punti 10</w:t>
            </w:r>
          </w:p>
        </w:tc>
        <w:tc>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3">
      <w:pPr>
        <w:rPr>
          <w:rFonts w:ascii="Times New Roman" w:cs="Times New Roman" w:eastAsia="Times New Roman" w:hAnsi="Times New Roman"/>
          <w:sz w:val="20"/>
          <w:szCs w:val="20"/>
        </w:rPr>
        <w:sectPr>
          <w:pgSz w:h="16840" w:w="11910" w:orient="portrait"/>
          <w:pgMar w:bottom="280" w:top="520" w:left="320" w:right="280" w:header="720" w:footer="720"/>
          <w:pgNumType w:start="1"/>
        </w:sectPr>
      </w:pP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tl w:val="0"/>
        </w:rPr>
      </w:r>
    </w:p>
    <w:tbl>
      <w:tblPr>
        <w:tblStyle w:val="Table2"/>
        <w:tblW w:w="11089.0" w:type="dxa"/>
        <w:jc w:val="left"/>
        <w:tblInd w:w="11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68"/>
        <w:gridCol w:w="1006"/>
        <w:gridCol w:w="960"/>
        <w:gridCol w:w="1055"/>
        <w:tblGridChange w:id="0">
          <w:tblGrid>
            <w:gridCol w:w="8068"/>
            <w:gridCol w:w="1006"/>
            <w:gridCol w:w="960"/>
            <w:gridCol w:w="1055"/>
          </w:tblGrid>
        </w:tblGridChange>
      </w:tblGrid>
      <w:tr>
        <w:trPr>
          <w:cantSplit w:val="0"/>
          <w:trHeight w:val="489" w:hRule="atLeast"/>
          <w:tblHeader w:val="0"/>
        </w:trPr>
        <w:tc>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3" w:line="240" w:lineRule="auto"/>
              <w:ind w:left="4"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A2 – ESIGENZE DI FAMIGLIA (6) (7)</w:t>
            </w:r>
          </w:p>
        </w:tc>
        <w:tc>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976" w:hRule="atLeast"/>
          <w:tblHeader w:val="0"/>
        </w:trPr>
        <w:tc>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Tipo di esigenza</w:t>
            </w:r>
          </w:p>
        </w:tc>
        <w:tc>
          <w:tcPr/>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4"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6"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Punteggio</w:t>
            </w:r>
          </w:p>
        </w:tc>
        <w:tc>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6" w:right="417"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Si/no e</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2.99999999999997" w:lineRule="auto"/>
              <w:ind w:left="5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numero</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52"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figli</w:t>
            </w:r>
          </w:p>
        </w:tc>
        <w:tc>
          <w:tcPr>
            <w:tcBorders>
              <w:right w:color="000000" w:space="0" w:sz="4" w:val="single"/>
            </w:tcBorders>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2" w:right="23"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Riservato al Dir.Scol.</w:t>
            </w:r>
          </w:p>
        </w:tc>
      </w:tr>
      <w:tr>
        <w:trPr>
          <w:cantSplit w:val="0"/>
          <w:trHeight w:val="734" w:hRule="atLeast"/>
          <w:tblHeader w:val="0"/>
        </w:trPr>
        <w:tc>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4" w:right="8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per ricongiungimento al coniuge ovvero, nel caso di docenti senza coniuge o separati giudizialmente o consensualmente con atto omologato dal tribunale, per ricongiungimento ai genitori o ai figli</w:t>
            </w:r>
          </w:p>
        </w:tc>
        <w:tc>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9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Punti 6</w:t>
            </w:r>
          </w:p>
        </w:tc>
        <w:tc>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30" w:hRule="atLeast"/>
          <w:tblHeader w:val="0"/>
        </w:trPr>
        <w:tc>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36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  per ogni figlio di età inferiore a sei anni (8)</w:t>
            </w:r>
          </w:p>
        </w:tc>
        <w:tc>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0" w:lineRule="auto"/>
              <w:ind w:left="141"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Punti 4</w:t>
            </w:r>
          </w:p>
        </w:tc>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tc>
      </w:tr>
      <w:tr>
        <w:trPr>
          <w:cantSplit w:val="0"/>
          <w:trHeight w:val="976" w:hRule="atLeast"/>
          <w:tblHeader w:val="0"/>
        </w:trPr>
        <w:tc>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31" w:right="81"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 per ogni figlio di età superiore ai sei anni, ma che non abbia superato il diciottesimo anno di età (8) ovvero per ogni figlio maggiorenne che risulti totalmente o permanentemente inabile a proficuo lavoro)</w:t>
            </w:r>
          </w:p>
        </w:tc>
        <w:tc>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Punti 3</w:t>
            </w:r>
          </w:p>
        </w:tc>
        <w:tc>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31" w:hRule="atLeast"/>
          <w:tblHeader w:val="0"/>
        </w:trPr>
        <w:tc>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 per la cura e l'assistenza dei figli disabili fisici, psichici o sensoriali, tossicodipendenti, ovvero del coniuge o del genitore totalmente e permanentemente inabili al lavoro che possono essere</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4"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assistiti soltanto nel comune richiesto (9)</w:t>
            </w:r>
          </w:p>
        </w:tc>
        <w:tc>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 w:line="240" w:lineRule="auto"/>
              <w:ind w:left="5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Punti 6</w:t>
            </w:r>
          </w:p>
        </w:tc>
        <w:tc>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1" w:before="2"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tbl>
      <w:tblPr>
        <w:tblStyle w:val="Table3"/>
        <w:tblW w:w="11056.000000000002"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44"/>
        <w:gridCol w:w="1136"/>
        <w:gridCol w:w="742"/>
        <w:gridCol w:w="1134"/>
        <w:tblGridChange w:id="0">
          <w:tblGrid>
            <w:gridCol w:w="8044"/>
            <w:gridCol w:w="1136"/>
            <w:gridCol w:w="742"/>
            <w:gridCol w:w="1134"/>
          </w:tblGrid>
        </w:tblGridChange>
      </w:tblGrid>
      <w:tr>
        <w:trPr>
          <w:cantSplit w:val="0"/>
          <w:trHeight w:val="614" w:hRule="atLeast"/>
          <w:tblHeader w:val="0"/>
        </w:trPr>
        <w:tc>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A3 TITOLI GENERALI (15), (17)</w:t>
            </w:r>
          </w:p>
        </w:tc>
        <w:tc>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Punteggio</w:t>
            </w:r>
          </w:p>
        </w:tc>
        <w:tc>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Punti</w:t>
            </w:r>
          </w:p>
        </w:tc>
        <w:tc>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4" w:right="236"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Riservato Al D.S.</w:t>
            </w:r>
          </w:p>
        </w:tc>
      </w:tr>
      <w:tr>
        <w:trPr>
          <w:cantSplit w:val="0"/>
          <w:trHeight w:val="731" w:hRule="atLeast"/>
          <w:tblHeader w:val="0"/>
        </w:trPr>
        <w:tc>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182"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per il superamento di un pubblico concorso ordinario per esami e titoli, per l'accesso al ruolo di appartenenza (1), al momento della presentazione della domanda, o a ruoli di livello pari o</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superiore a quello di appartenenza (10).</w:t>
            </w:r>
          </w:p>
        </w:tc>
        <w:tc>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Punti 12</w:t>
            </w:r>
          </w:p>
        </w:tc>
        <w:tc>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2198" w:hRule="atLeast"/>
          <w:tblHeader w:val="0"/>
        </w:trPr>
        <w:tc>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182"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 per ogni diploma di specializzazione conseguito in corsi post-laurea previsti dagli statuti ovvero dal D.P.R. n. 162/82, ovvero dalla legge n. 341/90 (artt. 4, 6, 8) ovvero dal decreto n. 509/99 e successive modifiche ed integrazioni attivati dalle università statali o libere ovvero da istituti universitari statali o pareggiati, ovvero in corsi attivati da amministrazioni e/o istituti pubblici purché i titoli siano riconosciuti equipollenti dai competenti organismi universitari (11) (11 bis), ivi compresi gli istituti di educazione fisica statali o pareggiati, nell'ambito delle scienze dell'educazione e/o nell'ambito delle discipline attualmente insegnate dal docente</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per ogni diploma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23"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(è valutabile un solo diploma, per lo stesso o gli stessi anni accademici o di corso)</w:t>
            </w:r>
          </w:p>
        </w:tc>
        <w:tc>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23" w:lineRule="auto"/>
              <w:ind w:left="10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Punti 5</w:t>
            </w:r>
          </w:p>
        </w:tc>
        <w:tc>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732" w:hRule="atLeast"/>
          <w:tblHeader w:val="0"/>
        </w:trPr>
        <w:tc>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 per ogni diploma universitario (diploma accademico di primo livello, laurea di primo livello o breve o diploma Istituto Superiore di Educazione Fisica (ISEF)) conseguito oltre al titolo di studio</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attualmente necessario per l’accesso al ruolo di appartenenza (12)……………………………………..</w:t>
            </w:r>
          </w:p>
        </w:tc>
        <w:tc>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Punti 3</w:t>
            </w:r>
          </w:p>
        </w:tc>
        <w:tc>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953" w:hRule="atLeast"/>
          <w:tblHeader w:val="0"/>
        </w:trPr>
        <w:tc>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 per ogni corso di perfezionamento di durata non inferiore ad un anno, (13) previsto dagli statuti ovvero dal D.P.R. n. 162/82, ovvero dalla legge n. 341/90 (artt. 4,6,8) ovvero dal decreto</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182"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 509/99 e successive modifiche ed integrazioni, nonché per ogni master di 1°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2.99999999999997"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per ogni corso…………………………………………………………….</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(è valutabile un solo corso, per lo stesso o gli stessi anni accademici)</w:t>
            </w:r>
          </w:p>
        </w:tc>
        <w:tc>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Punti 1</w:t>
            </w:r>
          </w:p>
        </w:tc>
        <w:tc>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465" w:hRule="atLeast"/>
          <w:tblHeader w:val="0"/>
        </w:trPr>
        <w:tc>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182"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31.12.2017 – L. n. 228/2012) conseguito oltre al titolo di studio attualmente necessario per l'accesso al ruolo di</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23"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appartenenza (12)</w:t>
            </w:r>
          </w:p>
        </w:tc>
        <w:tc>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Punti 5</w:t>
            </w:r>
          </w:p>
        </w:tc>
        <w:tc>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87" w:hRule="atLeast"/>
          <w:tblHeader w:val="0"/>
        </w:trPr>
        <w:tc>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4"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 per il conseguimento del titolo di "dottorato di ricerca”</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(si valuta un solo titolo)</w:t>
            </w:r>
          </w:p>
        </w:tc>
        <w:tc>
          <w:tcPr/>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Punti 5</w:t>
            </w:r>
          </w:p>
        </w:tc>
        <w:tc>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221" w:hRule="atLeast"/>
          <w:tblHeader w:val="0"/>
        </w:trPr>
        <w:tc>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182"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 per ogni partecipazione agli esami di stato conclusivi dei corsi di studio di istruzione secondaria superiore di cui alla legge 10/12/97 n. 425 e al D.P.R. 23.7.1998 n.323, fino all’anno scolastico 2000/2001, in qualità di presidente di commissione o di componente esterno o di componente interno, compresa l’attività svolta dal docente di sostegno all’alunno disabile che</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sostiene l’esame</w:t>
            </w:r>
          </w:p>
        </w:tc>
        <w:tc>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Punti 1</w:t>
            </w:r>
          </w:p>
        </w:tc>
        <w:tc>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465" w:hRule="atLeast"/>
          <w:tblHeader w:val="0"/>
        </w:trPr>
        <w:tc>
          <w:tcPr/>
          <w:p w:rsidR="00000000" w:rsidDel="00000000" w:rsidP="00000000" w:rsidRDefault="00000000" w:rsidRPr="00000000" w14:paraId="000000B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tabs>
                <w:tab w:val="left" w:leader="none" w:pos="260"/>
              </w:tabs>
              <w:spacing w:after="0" w:before="1" w:line="240" w:lineRule="auto"/>
              <w:ind w:left="107" w:right="154"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CLIL di Corso di Perfezionamento per l’insegnamento di una disciplina non linguistica in lingua straniera di cui al Decreto Direttoriale n. 6 del 16 aprile 2012 rilasciato da strutture universitarie in possesso dei requisiti di cui all’art. 3, comma 3 del decreto ministeriale del 30 settembre 2011.</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NB: il certificato viene rilasciato solo a chi</w:t>
            </w:r>
          </w:p>
          <w:p w:rsidR="00000000" w:rsidDel="00000000" w:rsidP="00000000" w:rsidRDefault="00000000" w:rsidRPr="00000000" w14:paraId="000000C0">
            <w:pPr>
              <w:keepNext w:val="0"/>
              <w:keepLines w:val="0"/>
              <w:pageBreakBefore w:val="0"/>
              <w:widowControl w:val="0"/>
              <w:numPr>
                <w:ilvl w:val="1"/>
                <w:numId w:val="5"/>
              </w:numPr>
              <w:pBdr>
                <w:top w:space="0" w:sz="0" w:val="nil"/>
                <w:left w:space="0" w:sz="0" w:val="nil"/>
                <w:bottom w:space="0" w:sz="0" w:val="nil"/>
                <w:right w:space="0" w:sz="0" w:val="nil"/>
                <w:between w:space="0" w:sz="0" w:val="nil"/>
              </w:pBdr>
              <w:shd w:fill="auto" w:val="clear"/>
              <w:tabs>
                <w:tab w:val="left" w:leader="none" w:pos="250"/>
              </w:tabs>
              <w:spacing w:after="0" w:before="1" w:line="223" w:lineRule="auto"/>
              <w:ind w:left="250" w:right="0" w:hanging="14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è in possesso di certificazione di Livello C1 del QCER (art 4 comma 2)</w:t>
            </w:r>
          </w:p>
        </w:tc>
        <w:tc>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C4">
      <w:pPr>
        <w:rPr>
          <w:rFonts w:ascii="Times New Roman" w:cs="Times New Roman" w:eastAsia="Times New Roman" w:hAnsi="Times New Roman"/>
          <w:sz w:val="18"/>
          <w:szCs w:val="18"/>
        </w:rPr>
        <w:sectPr>
          <w:type w:val="nextPage"/>
          <w:pgSz w:h="16840" w:w="11910" w:orient="portrait"/>
          <w:pgMar w:bottom="280" w:top="520" w:left="320" w:right="280" w:header="720" w:footer="720"/>
        </w:sect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1"/>
          <w:i w:val="0"/>
          <w:smallCaps w:val="0"/>
          <w:strike w:val="0"/>
          <w:color w:val="000000"/>
          <w:sz w:val="2"/>
          <w:szCs w:val="2"/>
          <w:u w:val="none"/>
          <w:shd w:fill="auto" w:val="clear"/>
          <w:vertAlign w:val="baseline"/>
        </w:rPr>
      </w:pPr>
      <w:r w:rsidDel="00000000" w:rsidR="00000000" w:rsidRPr="00000000">
        <w:rPr>
          <w:rtl w:val="0"/>
        </w:rPr>
      </w:r>
    </w:p>
    <w:tbl>
      <w:tblPr>
        <w:tblStyle w:val="Table4"/>
        <w:tblW w:w="11056.000000000002" w:type="dxa"/>
        <w:jc w:val="left"/>
        <w:tblInd w:w="1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044"/>
        <w:gridCol w:w="1136"/>
        <w:gridCol w:w="742"/>
        <w:gridCol w:w="1134"/>
        <w:tblGridChange w:id="0">
          <w:tblGrid>
            <w:gridCol w:w="8044"/>
            <w:gridCol w:w="1136"/>
            <w:gridCol w:w="742"/>
            <w:gridCol w:w="1134"/>
          </w:tblGrid>
        </w:tblGridChange>
      </w:tblGrid>
      <w:tr>
        <w:trPr>
          <w:cantSplit w:val="0"/>
          <w:trHeight w:val="997" w:hRule="atLeast"/>
          <w:tblHeader w:val="0"/>
        </w:trPr>
        <w:tc>
          <w:tcPr/>
          <w:p w:rsidR="00000000" w:rsidDel="00000000" w:rsidP="00000000" w:rsidRDefault="00000000" w:rsidRPr="00000000" w14:paraId="000000C6">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50"/>
              </w:tabs>
              <w:spacing w:after="0" w:before="1" w:line="240" w:lineRule="auto"/>
              <w:ind w:left="250" w:right="0" w:hanging="14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 frequentato il corso metodologico</w:t>
            </w:r>
          </w:p>
          <w:p w:rsidR="00000000" w:rsidDel="00000000" w:rsidP="00000000" w:rsidRDefault="00000000" w:rsidRPr="00000000" w14:paraId="000000C7">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250"/>
              </w:tabs>
              <w:spacing w:after="0" w:before="1" w:line="240" w:lineRule="auto"/>
              <w:ind w:left="250" w:right="0" w:hanging="143"/>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sostenuto la prova finale.</w:t>
            </w:r>
          </w:p>
        </w:tc>
        <w:tc>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Punti 1</w:t>
            </w:r>
          </w:p>
        </w:tc>
        <w:tc>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1221" w:hRule="atLeast"/>
          <w:tblHeader w:val="0"/>
        </w:trPr>
        <w:tc>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107" w:right="182"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 CLIL per i docenti NON in possesso di Certificazione di livello C1, ma che avendo svolto la parte metodologica presso le strutture universitarie, sono in possesso di un ATTESTATO di frequenza al corso di perfezionamento.</w:t>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4"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NB: in questo caso il docente ha una competenza linguistica B2 NON certificata, ma ha</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23"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frequentato il corso e superato l’esame finale</w:t>
            </w:r>
          </w:p>
        </w:tc>
        <w:tc>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3" w:lineRule="auto"/>
              <w:ind w:left="10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Punti 0,5</w:t>
            </w:r>
          </w:p>
        </w:tc>
        <w:tc>
          <w:tcPr/>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r>
        <w:trPr>
          <w:cantSplit w:val="0"/>
          <w:trHeight w:val="486" w:hRule="atLeast"/>
          <w:tblHeader w:val="0"/>
        </w:trPr>
        <w:tc>
          <w:tcPr/>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2.99999999999997"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N.B. i titoli relativi a B) C), D), E), F), G), I) L), anche cumulabili tra di loro, sono valutati fino ad un</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22" w:lineRule="auto"/>
              <w:ind w:left="107"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massimo di</w:t>
            </w:r>
          </w:p>
        </w:tc>
        <w:tc>
          <w:tcPr/>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3" w:line="223" w:lineRule="auto"/>
              <w:ind w:left="105"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Punti 10</w:t>
            </w:r>
          </w:p>
        </w:tc>
        <w:tc>
          <w:tcPr/>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c>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                IL/LA SOTTOSCRITTO/A DICHIARA CHE NULLA E’ VARIATO RISPETTO ALL’ANNO SCOLASTICO 2022/2023</w:t>
      </w:r>
    </w:p>
    <w:p w:rsidR="00000000" w:rsidDel="00000000" w:rsidP="00000000" w:rsidRDefault="00000000" w:rsidRPr="00000000" w14:paraId="000000DD">
      <w:pPr>
        <w:ind w:left="497" w:firstLine="0"/>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DE">
      <w:pPr>
        <w:ind w:left="497"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Data……………………………….</w:t>
        <w:tab/>
        <w:tab/>
        <w:tab/>
        <w:t xml:space="preserve">         Firma………………………………………………</w:t>
      </w:r>
    </w:p>
    <w:p w:rsidR="00000000" w:rsidDel="00000000" w:rsidP="00000000" w:rsidRDefault="00000000" w:rsidRPr="00000000" w14:paraId="000000DF">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0">
      <w:pPr>
        <w:spacing w:before="5" w:lineRule="auto"/>
        <w:rPr>
          <w:rFonts w:ascii="Times New Roman" w:cs="Times New Roman" w:eastAsia="Times New Roman" w:hAnsi="Times New Roman"/>
          <w:b w:val="1"/>
          <w:sz w:val="30"/>
          <w:szCs w:val="30"/>
        </w:rPr>
      </w:pPr>
      <w:r w:rsidDel="00000000" w:rsidR="00000000" w:rsidRPr="00000000">
        <w:rPr>
          <w:rtl w:val="0"/>
        </w:rPr>
      </w:r>
    </w:p>
    <w:p w:rsidR="00000000" w:rsidDel="00000000" w:rsidP="00000000" w:rsidRDefault="00000000" w:rsidRPr="00000000" w14:paraId="000000E1">
      <w:pPr>
        <w:ind w:left="4536" w:right="4486" w:firstLine="0"/>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0E2">
      <w:pPr>
        <w:ind w:left="4536" w:right="4486" w:firstLine="0"/>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INOLTRE DICHIARO</w:t>
      </w:r>
    </w:p>
    <w:p w:rsidR="00000000" w:rsidDel="00000000" w:rsidP="00000000" w:rsidRDefault="00000000" w:rsidRPr="00000000" w14:paraId="000000E3">
      <w:pPr>
        <w:ind w:left="423" w:right="363" w:firstLine="0"/>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E4">
      <w:pPr>
        <w:ind w:left="423" w:right="363"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Sotto la mia responsabilità, ai sensi del DPR n. 445 del 28/12/00 come modificato ed integrato dall’art. 15 della Legge 16/01/03 n. 3, ai fini dell’attribuzione del punteggio e per beneficiare delle specifiche disposizioni di legge, contenute nell’OM sulla mobilità del personale docente ed educativo a T.I. della scuola, e nel CCNI sulla mobilità:</w:t>
      </w:r>
    </w:p>
    <w:p w:rsidR="00000000" w:rsidDel="00000000" w:rsidP="00000000" w:rsidRDefault="00000000" w:rsidRPr="00000000" w14:paraId="000000E5">
      <w:pPr>
        <w:spacing w:before="2" w:lineRule="auto"/>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E6">
      <w:pPr>
        <w:tabs>
          <w:tab w:val="left" w:leader="none" w:pos="1258"/>
        </w:tabs>
        <w:spacing w:before="1" w:line="237" w:lineRule="auto"/>
        <w:ind w:left="1256" w:right="428" w:hanging="3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20"/>
          <w:szCs w:val="20"/>
          <w:rtl w:val="0"/>
        </w:rPr>
        <w:t xml:space="preserve">□</w:t>
        <w:tab/>
        <w:tab/>
      </w:r>
      <w:r w:rsidDel="00000000" w:rsidR="00000000" w:rsidRPr="00000000">
        <w:rPr>
          <w:rFonts w:ascii="Times New Roman" w:cs="Times New Roman" w:eastAsia="Times New Roman" w:hAnsi="Times New Roman"/>
          <w:sz w:val="18"/>
          <w:szCs w:val="18"/>
          <w:rtl w:val="0"/>
        </w:rPr>
        <w:t xml:space="preserve">di essere beneficiario/a delle precedenze previste al seguente punto di cui al citato art. 40 - SISTEMA DELLE PRECEDENZE ED ESCLUSIONE DALLA GRADUATORIA INTERNA D’ISTITUTO CCNI Triennio 2022/23 -2023/24-2024/25 (</w:t>
      </w:r>
      <w:r w:rsidDel="00000000" w:rsidR="00000000" w:rsidRPr="00000000">
        <w:rPr>
          <w:rFonts w:ascii="Times New Roman" w:cs="Times New Roman" w:eastAsia="Times New Roman" w:hAnsi="Times New Roman"/>
          <w:b w:val="1"/>
          <w:sz w:val="18"/>
          <w:szCs w:val="18"/>
          <w:rtl w:val="0"/>
        </w:rPr>
        <w:t xml:space="preserve">sottoscritto in data 18/05/2022</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0E7">
      <w:pPr>
        <w:spacing w:after="1" w:before="9" w:lineRule="auto"/>
        <w:rPr>
          <w:rFonts w:ascii="Times New Roman" w:cs="Times New Roman" w:eastAsia="Times New Roman" w:hAnsi="Times New Roman"/>
          <w:sz w:val="18"/>
          <w:szCs w:val="18"/>
        </w:rPr>
      </w:pPr>
      <w:r w:rsidDel="00000000" w:rsidR="00000000" w:rsidRPr="00000000">
        <w:rPr>
          <w:rtl w:val="0"/>
        </w:rPr>
      </w:r>
    </w:p>
    <w:tbl>
      <w:tblPr>
        <w:tblStyle w:val="Table5"/>
        <w:tblW w:w="10145.0" w:type="dxa"/>
        <w:jc w:val="left"/>
        <w:tblInd w:w="3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5"/>
        <w:gridCol w:w="2097"/>
        <w:gridCol w:w="336"/>
        <w:gridCol w:w="7287"/>
        <w:tblGridChange w:id="0">
          <w:tblGrid>
            <w:gridCol w:w="425"/>
            <w:gridCol w:w="2097"/>
            <w:gridCol w:w="336"/>
            <w:gridCol w:w="7287"/>
          </w:tblGrid>
        </w:tblGridChange>
      </w:tblGrid>
      <w:tr>
        <w:trPr>
          <w:cantSplit w:val="0"/>
          <w:trHeight w:val="318" w:hRule="atLeast"/>
          <w:tblHeader w:val="0"/>
        </w:trPr>
        <w:tc>
          <w:tcPr>
            <w:vMerge w:val="restart"/>
          </w:tcPr>
          <w:p w:rsidR="00000000" w:rsidDel="00000000" w:rsidP="00000000" w:rsidRDefault="00000000" w:rsidRPr="00000000" w14:paraId="000000E8">
            <w:pPr>
              <w:spacing w:before="7" w:lineRule="auto"/>
              <w:rPr>
                <w:rFonts w:ascii="Times New Roman" w:cs="Times New Roman" w:eastAsia="Times New Roman" w:hAnsi="Times New Roman"/>
                <w:sz w:val="19"/>
                <w:szCs w:val="19"/>
              </w:rPr>
            </w:pPr>
            <w:r w:rsidDel="00000000" w:rsidR="00000000" w:rsidRPr="00000000">
              <w:rPr>
                <w:rtl w:val="0"/>
              </w:rPr>
            </w:r>
          </w:p>
          <w:p w:rsidR="00000000" w:rsidDel="00000000" w:rsidP="00000000" w:rsidRDefault="00000000" w:rsidRPr="00000000" w14:paraId="000000E9">
            <w:pPr>
              <w:ind w:left="10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vMerge w:val="restart"/>
          </w:tcPr>
          <w:p w:rsidR="00000000" w:rsidDel="00000000" w:rsidP="00000000" w:rsidRDefault="00000000" w:rsidRPr="00000000" w14:paraId="000000EA">
            <w:pPr>
              <w:spacing w:before="33" w:line="232" w:lineRule="auto"/>
              <w:ind w:left="216" w:right="366" w:firstLine="6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 DISABILITA’ E GRAVI MOTIVI DI</w:t>
            </w:r>
          </w:p>
          <w:p w:rsidR="00000000" w:rsidDel="00000000" w:rsidP="00000000" w:rsidRDefault="00000000" w:rsidRPr="00000000" w14:paraId="000000EB">
            <w:pPr>
              <w:spacing w:before="4" w:lineRule="auto"/>
              <w:ind w:left="662"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SALUTE</w:t>
            </w:r>
          </w:p>
        </w:tc>
        <w:tc>
          <w:tcPr/>
          <w:p w:rsidR="00000000" w:rsidDel="00000000" w:rsidP="00000000" w:rsidRDefault="00000000" w:rsidRPr="00000000" w14:paraId="000000EC">
            <w:pPr>
              <w:spacing w:before="59" w:lineRule="auto"/>
              <w:ind w:right="2"/>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p>
        </w:tc>
        <w:tc>
          <w:tcPr/>
          <w:p w:rsidR="00000000" w:rsidDel="00000000" w:rsidP="00000000" w:rsidRDefault="00000000" w:rsidRPr="00000000" w14:paraId="000000ED">
            <w:pPr>
              <w:spacing w:before="59" w:lineRule="auto"/>
              <w:ind w:left="106"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personale scolastico docente non vedente (art. 3 della Legge 28 marzo 1991 n. 120);</w:t>
            </w:r>
          </w:p>
        </w:tc>
      </w:tr>
      <w:tr>
        <w:trPr>
          <w:cantSplit w:val="0"/>
          <w:trHeight w:val="362" w:hRule="atLeast"/>
          <w:tblHeader w:val="0"/>
        </w:trPr>
        <w:tc>
          <w:tcPr>
            <w:vMerge w:val="continue"/>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Merge w:val="continue"/>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0F0">
            <w:pPr>
              <w:spacing w:before="81" w:lineRule="auto"/>
              <w:ind w:right="2"/>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p>
        </w:tc>
        <w:tc>
          <w:tcPr/>
          <w:p w:rsidR="00000000" w:rsidDel="00000000" w:rsidP="00000000" w:rsidRDefault="00000000" w:rsidRPr="00000000" w14:paraId="000000F1">
            <w:pPr>
              <w:spacing w:before="81" w:lineRule="auto"/>
              <w:ind w:left="106"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personale emodializzato (art. 61 della Legge 270/82).</w:t>
            </w:r>
          </w:p>
        </w:tc>
      </w:tr>
      <w:tr>
        <w:trPr>
          <w:cantSplit w:val="0"/>
          <w:trHeight w:val="921" w:hRule="atLeast"/>
          <w:tblHeader w:val="0"/>
        </w:trPr>
        <w:tc>
          <w:tcPr>
            <w:vMerge w:val="restart"/>
            <w:tcBorders>
              <w:bottom w:color="000000" w:space="0" w:sz="0" w:val="nil"/>
            </w:tcBorders>
          </w:tcPr>
          <w:p w:rsidR="00000000" w:rsidDel="00000000" w:rsidP="00000000" w:rsidRDefault="00000000" w:rsidRPr="00000000" w14:paraId="000000F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6">
            <w:pPr>
              <w:spacing w:before="7"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7">
            <w:pPr>
              <w:ind w:left="10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vMerge w:val="restart"/>
            <w:tcBorders>
              <w:bottom w:color="000000" w:space="0" w:sz="0" w:val="nil"/>
            </w:tcBorders>
          </w:tcPr>
          <w:p w:rsidR="00000000" w:rsidDel="00000000" w:rsidP="00000000" w:rsidRDefault="00000000" w:rsidRPr="00000000" w14:paraId="000000F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9">
            <w:pPr>
              <w:spacing w:before="1" w:lineRule="auto"/>
              <w:rPr>
                <w:rFonts w:ascii="Times New Roman" w:cs="Times New Roman" w:eastAsia="Times New Roman" w:hAnsi="Times New Roman"/>
                <w:sz w:val="17"/>
                <w:szCs w:val="17"/>
              </w:rPr>
            </w:pPr>
            <w:r w:rsidDel="00000000" w:rsidR="00000000" w:rsidRPr="00000000">
              <w:rPr>
                <w:rtl w:val="0"/>
              </w:rPr>
            </w:r>
          </w:p>
          <w:p w:rsidR="00000000" w:rsidDel="00000000" w:rsidP="00000000" w:rsidRDefault="00000000" w:rsidRPr="00000000" w14:paraId="000000FA">
            <w:pPr>
              <w:spacing w:line="230" w:lineRule="auto"/>
              <w:ind w:left="132" w:right="89" w:firstLine="184"/>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III) PERSONALE CON DISABILITA’ E</w:t>
            </w:r>
          </w:p>
          <w:p w:rsidR="00000000" w:rsidDel="00000000" w:rsidP="00000000" w:rsidRDefault="00000000" w:rsidRPr="00000000" w14:paraId="000000FB">
            <w:pPr>
              <w:spacing w:before="1" w:line="254" w:lineRule="auto"/>
              <w:ind w:left="336" w:right="321"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PERSONALE CHE HA BISOGNO DI PARTICOLARI CURE CONTINUATIVE</w:t>
            </w:r>
          </w:p>
        </w:tc>
        <w:tc>
          <w:tcPr/>
          <w:p w:rsidR="00000000" w:rsidDel="00000000" w:rsidP="00000000" w:rsidRDefault="00000000" w:rsidRPr="00000000" w14:paraId="000000F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FD">
            <w:pPr>
              <w:spacing w:before="129" w:lineRule="auto"/>
              <w:ind w:right="2"/>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p>
        </w:tc>
        <w:tc>
          <w:tcPr/>
          <w:p w:rsidR="00000000" w:rsidDel="00000000" w:rsidP="00000000" w:rsidRDefault="00000000" w:rsidRPr="00000000" w14:paraId="000000FE">
            <w:pPr>
              <w:spacing w:before="154" w:line="235" w:lineRule="auto"/>
              <w:ind w:left="106" w:right="97"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 disabili di cui all'art. 21, della legge n. 104/92, richiamato dall'art. 601 del D.L.vo n. 297/94, con un grado di invalidità superiore ai due terzi o con minorazioni iscritte alle categorie prima, seconda e terza della tabella "A" annessa alla legge 10 agosto 1950, n. 648;</w:t>
            </w:r>
          </w:p>
        </w:tc>
      </w:tr>
      <w:tr>
        <w:trPr>
          <w:cantSplit w:val="0"/>
          <w:trHeight w:val="1126" w:hRule="atLeast"/>
          <w:tblHeader w:val="0"/>
        </w:trPr>
        <w:tc>
          <w:tcPr>
            <w:vMerge w:val="continue"/>
            <w:tcBorders>
              <w:bottom w:color="000000" w:space="0" w:sz="0" w:val="nil"/>
            </w:tcBorders>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Merge w:val="continue"/>
            <w:tcBorders>
              <w:bottom w:color="000000" w:space="0" w:sz="0" w:val="nil"/>
            </w:tcBorders>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tcBorders>
              <w:bottom w:color="000000" w:space="0" w:sz="0" w:val="nil"/>
            </w:tcBorders>
          </w:tcPr>
          <w:p w:rsidR="00000000" w:rsidDel="00000000" w:rsidP="00000000" w:rsidRDefault="00000000" w:rsidRPr="00000000" w14:paraId="0000010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03">
            <w:pPr>
              <w:spacing w:before="127" w:lineRule="auto"/>
              <w:ind w:right="2"/>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p>
        </w:tc>
        <w:tc>
          <w:tcPr>
            <w:tcBorders>
              <w:bottom w:color="000000" w:space="0" w:sz="0" w:val="nil"/>
            </w:tcBorders>
          </w:tcPr>
          <w:p w:rsidR="00000000" w:rsidDel="00000000" w:rsidP="00000000" w:rsidRDefault="00000000" w:rsidRPr="00000000" w14:paraId="00000104">
            <w:pPr>
              <w:spacing w:before="33" w:line="254" w:lineRule="auto"/>
              <w:ind w:left="106" w:right="89"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2) personale (non necessariamente disabile) che ha bisogno per gravi patologie di particolari cure a carattere continuativo (ad esempio chemioterapia); detto personale ha diritto alla precedenza per tutte le preferenze espresse nella domanda, a condizione che la prima di tali preferenze sia relativa all’ambito corrispondente al comune in cui esista   un centro di cura</w:t>
            </w:r>
          </w:p>
          <w:p w:rsidR="00000000" w:rsidDel="00000000" w:rsidP="00000000" w:rsidRDefault="00000000" w:rsidRPr="00000000" w14:paraId="00000105">
            <w:pPr>
              <w:spacing w:line="195" w:lineRule="auto"/>
              <w:ind w:left="106" w:firstLine="0"/>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specializzato, tale precedenza opera nella fase comunale solo  tra distretti diversi dello stesso</w:t>
            </w:r>
          </w:p>
        </w:tc>
      </w:tr>
      <w:tr>
        <w:trPr>
          <w:cantSplit w:val="0"/>
          <w:trHeight w:val="254" w:hRule="atLeast"/>
          <w:tblHeader w:val="0"/>
        </w:trPr>
        <w:tc>
          <w:tcPr>
            <w:vMerge w:val="restart"/>
            <w:tcBorders>
              <w:top w:color="000000" w:space="0" w:sz="0" w:val="nil"/>
              <w:bottom w:color="000000" w:space="0" w:sz="0" w:val="nil"/>
            </w:tcBorders>
          </w:tcPr>
          <w:p w:rsidR="00000000" w:rsidDel="00000000" w:rsidP="00000000" w:rsidRDefault="00000000" w:rsidRPr="00000000" w14:paraId="00000106">
            <w:pPr>
              <w:rPr>
                <w:rFonts w:ascii="Times New Roman" w:cs="Times New Roman" w:eastAsia="Times New Roman" w:hAnsi="Times New Roman"/>
                <w:sz w:val="18"/>
                <w:szCs w:val="18"/>
              </w:rPr>
            </w:pPr>
            <w:r w:rsidDel="00000000" w:rsidR="00000000" w:rsidRPr="00000000">
              <w:rPr>
                <w:rtl w:val="0"/>
              </w:rPr>
            </w:r>
          </w:p>
        </w:tc>
        <w:tc>
          <w:tcPr>
            <w:vMerge w:val="restart"/>
            <w:tcBorders>
              <w:top w:color="000000" w:space="0" w:sz="0" w:val="nil"/>
              <w:bottom w:color="000000" w:space="0" w:sz="0" w:val="nil"/>
            </w:tcBorders>
          </w:tcPr>
          <w:p w:rsidR="00000000" w:rsidDel="00000000" w:rsidP="00000000" w:rsidRDefault="00000000" w:rsidRPr="00000000" w14:paraId="00000107">
            <w:pPr>
              <w:spacing w:before="83" w:line="186" w:lineRule="auto"/>
              <w:ind w:left="12" w:firstLine="0"/>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p>
        </w:tc>
        <w:tc>
          <w:tcPr>
            <w:tcBorders>
              <w:top w:color="000000" w:space="0" w:sz="0" w:val="nil"/>
            </w:tcBorders>
          </w:tcPr>
          <w:p w:rsidR="00000000" w:rsidDel="00000000" w:rsidP="00000000" w:rsidRDefault="00000000" w:rsidRPr="00000000" w14:paraId="00000108">
            <w:pP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tcBorders>
          </w:tcPr>
          <w:p w:rsidR="00000000" w:rsidDel="00000000" w:rsidP="00000000" w:rsidRDefault="00000000" w:rsidRPr="00000000" w14:paraId="00000109">
            <w:pPr>
              <w:spacing w:before="2" w:lineRule="auto"/>
              <w:ind w:left="106"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comune.</w:t>
            </w:r>
          </w:p>
        </w:tc>
      </w:tr>
      <w:tr>
        <w:trPr>
          <w:cantSplit w:val="0"/>
          <w:trHeight w:val="25" w:hRule="atLeast"/>
          <w:tblHeader w:val="0"/>
        </w:trPr>
        <w:tc>
          <w:tcPr>
            <w:vMerge w:val="continue"/>
            <w:tcBorders>
              <w:top w:color="000000" w:space="0" w:sz="0" w:val="nil"/>
              <w:bottom w:color="000000" w:space="0" w:sz="0" w:val="nil"/>
            </w:tcBorders>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Merge w:val="restart"/>
          </w:tcPr>
          <w:p w:rsidR="00000000" w:rsidDel="00000000" w:rsidP="00000000" w:rsidRDefault="00000000" w:rsidRPr="00000000" w14:paraId="0000010C">
            <w:pPr>
              <w:spacing w:before="131" w:lineRule="auto"/>
              <w:ind w:left="106"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p>
        </w:tc>
        <w:tc>
          <w:tcPr>
            <w:tcBorders>
              <w:bottom w:color="000000" w:space="0" w:sz="0" w:val="nil"/>
            </w:tcBorders>
          </w:tcPr>
          <w:p w:rsidR="00000000" w:rsidDel="00000000" w:rsidP="00000000" w:rsidRDefault="00000000" w:rsidRPr="00000000" w14:paraId="0000010D">
            <w:pPr>
              <w:rPr>
                <w:rFonts w:ascii="Times New Roman" w:cs="Times New Roman" w:eastAsia="Times New Roman" w:hAnsi="Times New Roman"/>
                <w:sz w:val="2"/>
                <w:szCs w:val="2"/>
              </w:rPr>
            </w:pPr>
            <w:r w:rsidDel="00000000" w:rsidR="00000000" w:rsidRPr="00000000">
              <w:rPr>
                <w:rtl w:val="0"/>
              </w:rPr>
            </w:r>
          </w:p>
        </w:tc>
      </w:tr>
      <w:tr>
        <w:trPr>
          <w:cantSplit w:val="0"/>
          <w:trHeight w:val="427" w:hRule="atLeast"/>
          <w:tblHeader w:val="0"/>
        </w:trPr>
        <w:tc>
          <w:tcPr>
            <w:tcBorders>
              <w:top w:color="000000" w:space="0" w:sz="0" w:val="nil"/>
            </w:tcBorders>
          </w:tcPr>
          <w:p w:rsidR="00000000" w:rsidDel="00000000" w:rsidP="00000000" w:rsidRDefault="00000000" w:rsidRPr="00000000" w14:paraId="0000010E">
            <w:pPr>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tcBorders>
          </w:tcPr>
          <w:p w:rsidR="00000000" w:rsidDel="00000000" w:rsidP="00000000" w:rsidRDefault="00000000" w:rsidRPr="00000000" w14:paraId="0000010F">
            <w:pPr>
              <w:rPr>
                <w:rFonts w:ascii="Times New Roman" w:cs="Times New Roman" w:eastAsia="Times New Roman" w:hAnsi="Times New Roman"/>
                <w:sz w:val="18"/>
                <w:szCs w:val="18"/>
              </w:rPr>
            </w:pPr>
            <w:r w:rsidDel="00000000" w:rsidR="00000000" w:rsidRPr="00000000">
              <w:rPr>
                <w:rtl w:val="0"/>
              </w:rPr>
            </w:r>
          </w:p>
        </w:tc>
        <w:tc>
          <w:tcPr>
            <w:vMerge w:val="continue"/>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tcBorders>
              <w:top w:color="000000" w:space="0" w:sz="0" w:val="nil"/>
            </w:tcBorders>
          </w:tcPr>
          <w:p w:rsidR="00000000" w:rsidDel="00000000" w:rsidP="00000000" w:rsidRDefault="00000000" w:rsidRPr="00000000" w14:paraId="00000111">
            <w:pPr>
              <w:spacing w:line="230" w:lineRule="auto"/>
              <w:ind w:left="106"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3) personale appartenente alle categorie previste dal comma 6, dell'art. 33 della legge n. 104/92, richiamato dall'art. 601, del D.L.vo n. 297/94.</w:t>
            </w:r>
          </w:p>
        </w:tc>
      </w:tr>
      <w:tr>
        <w:trPr>
          <w:cantSplit w:val="0"/>
          <w:trHeight w:val="230" w:hRule="atLeast"/>
          <w:tblHeader w:val="0"/>
        </w:trPr>
        <w:tc>
          <w:tcPr>
            <w:vMerge w:val="restart"/>
          </w:tcPr>
          <w:p w:rsidR="00000000" w:rsidDel="00000000" w:rsidP="00000000" w:rsidRDefault="00000000" w:rsidRPr="00000000" w14:paraId="00000112">
            <w:pPr>
              <w:spacing w:before="3" w:lineRule="auto"/>
              <w:rPr>
                <w:rFonts w:ascii="Times New Roman" w:cs="Times New Roman" w:eastAsia="Times New Roman" w:hAnsi="Times New Roman"/>
                <w:sz w:val="30"/>
                <w:szCs w:val="30"/>
              </w:rPr>
            </w:pPr>
            <w:r w:rsidDel="00000000" w:rsidR="00000000" w:rsidRPr="00000000">
              <w:rPr>
                <w:rtl w:val="0"/>
              </w:rPr>
            </w:r>
          </w:p>
          <w:p w:rsidR="00000000" w:rsidDel="00000000" w:rsidP="00000000" w:rsidRDefault="00000000" w:rsidRPr="00000000" w14:paraId="00000113">
            <w:pPr>
              <w:ind w:left="10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vMerge w:val="restart"/>
          </w:tcPr>
          <w:p w:rsidR="00000000" w:rsidDel="00000000" w:rsidP="00000000" w:rsidRDefault="00000000" w:rsidRPr="00000000" w14:paraId="0000011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5">
            <w:pPr>
              <w:spacing w:before="137" w:lineRule="auto"/>
              <w:ind w:left="319"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IV) ASSISTENZA</w:t>
            </w:r>
          </w:p>
        </w:tc>
        <w:tc>
          <w:tcPr/>
          <w:p w:rsidR="00000000" w:rsidDel="00000000" w:rsidP="00000000" w:rsidRDefault="00000000" w:rsidRPr="00000000" w14:paraId="00000116">
            <w:pPr>
              <w:spacing w:before="11" w:line="198" w:lineRule="auto"/>
              <w:ind w:right="2"/>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p>
        </w:tc>
        <w:tc>
          <w:tcPr/>
          <w:p w:rsidR="00000000" w:rsidDel="00000000" w:rsidP="00000000" w:rsidRDefault="00000000" w:rsidRPr="00000000" w14:paraId="00000117">
            <w:pPr>
              <w:spacing w:before="11" w:line="198" w:lineRule="auto"/>
              <w:ind w:left="106"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ASSISTENZA AL CONIUGE, ED AL FIGLIO CON DISABILITA’</w:t>
            </w:r>
          </w:p>
        </w:tc>
      </w:tr>
      <w:tr>
        <w:trPr>
          <w:cantSplit w:val="0"/>
          <w:trHeight w:val="458" w:hRule="atLeast"/>
          <w:tblHeader w:val="0"/>
        </w:trPr>
        <w:tc>
          <w:tcPr>
            <w:vMerge w:val="continue"/>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Merge w:val="continue"/>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1A">
            <w:pPr>
              <w:spacing w:before="127" w:lineRule="auto"/>
              <w:ind w:right="2"/>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p>
        </w:tc>
        <w:tc>
          <w:tcPr/>
          <w:p w:rsidR="00000000" w:rsidDel="00000000" w:rsidP="00000000" w:rsidRDefault="00000000" w:rsidRPr="00000000" w14:paraId="0000011B">
            <w:pPr>
              <w:spacing w:before="7" w:lineRule="auto"/>
              <w:ind w:left="106"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ASSISTENZA DA PARTE DEL FIGLIO REFERENTE UNICO AL GENITORE CON</w:t>
            </w:r>
          </w:p>
          <w:p w:rsidR="00000000" w:rsidDel="00000000" w:rsidP="00000000" w:rsidRDefault="00000000" w:rsidRPr="00000000" w14:paraId="0000011C">
            <w:pPr>
              <w:spacing w:before="13" w:lineRule="auto"/>
              <w:ind w:left="106"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DISABILITA’</w:t>
            </w:r>
          </w:p>
        </w:tc>
      </w:tr>
      <w:tr>
        <w:trPr>
          <w:cantSplit w:val="0"/>
          <w:trHeight w:val="230" w:hRule="atLeast"/>
          <w:tblHeader w:val="0"/>
        </w:trPr>
        <w:tc>
          <w:tcPr>
            <w:vMerge w:val="continue"/>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Merge w:val="continue"/>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11F">
            <w:pPr>
              <w:spacing w:before="14" w:line="196" w:lineRule="auto"/>
              <w:ind w:right="2"/>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w:t>
            </w:r>
          </w:p>
        </w:tc>
        <w:tc>
          <w:tcPr/>
          <w:p w:rsidR="00000000" w:rsidDel="00000000" w:rsidP="00000000" w:rsidRDefault="00000000" w:rsidRPr="00000000" w14:paraId="00000120">
            <w:pPr>
              <w:spacing w:before="14" w:line="196" w:lineRule="auto"/>
              <w:ind w:left="106"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ASSISTENZA DA PARTE DI CHI ESERCITA LA TUTELA LEGALE</w:t>
            </w:r>
          </w:p>
        </w:tc>
      </w:tr>
      <w:tr>
        <w:trPr>
          <w:cantSplit w:val="0"/>
          <w:trHeight w:val="232" w:hRule="atLeast"/>
          <w:tblHeader w:val="0"/>
        </w:trPr>
        <w:tc>
          <w:tcPr/>
          <w:p w:rsidR="00000000" w:rsidDel="00000000" w:rsidP="00000000" w:rsidRDefault="00000000" w:rsidRPr="00000000" w14:paraId="00000121">
            <w:pPr>
              <w:spacing w:line="212" w:lineRule="auto"/>
              <w:ind w:left="107"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t>
            </w:r>
          </w:p>
        </w:tc>
        <w:tc>
          <w:tcPr>
            <w:gridSpan w:val="3"/>
          </w:tcPr>
          <w:p w:rsidR="00000000" w:rsidDel="00000000" w:rsidP="00000000" w:rsidRDefault="00000000" w:rsidRPr="00000000" w14:paraId="00000122">
            <w:pPr>
              <w:spacing w:before="9" w:line="203" w:lineRule="auto"/>
              <w:ind w:left="112" w:firstLine="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VII) PERSONALE CHE RICOPRE CARICHE PUBBLICHE NELLE AMMINISTRAZIONI DEGLI ENTI LOCALI</w:t>
            </w:r>
          </w:p>
        </w:tc>
      </w:tr>
    </w:tbl>
    <w:p w:rsidR="00000000" w:rsidDel="00000000" w:rsidP="00000000" w:rsidRDefault="00000000" w:rsidRPr="00000000" w14:paraId="00000125">
      <w:pPr>
        <w:spacing w:before="67" w:lineRule="auto"/>
        <w:ind w:left="4105" w:right="4486"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CHIEDO</w:t>
      </w:r>
      <w:r w:rsidDel="00000000" w:rsidR="00000000" w:rsidRPr="00000000">
        <w:rPr>
          <w:rtl w:val="0"/>
        </w:rPr>
      </w:r>
    </w:p>
    <w:p w:rsidR="00000000" w:rsidDel="00000000" w:rsidP="00000000" w:rsidRDefault="00000000" w:rsidRPr="00000000" w14:paraId="00000126">
      <w:pPr>
        <w:spacing w:before="190" w:lineRule="auto"/>
        <w:ind w:left="423" w:firstLine="0"/>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sz w:val="18"/>
          <w:szCs w:val="18"/>
          <w:rtl w:val="0"/>
        </w:rPr>
        <w:t xml:space="preserve">Pertanto </w:t>
      </w:r>
      <w:r w:rsidDel="00000000" w:rsidR="00000000" w:rsidRPr="00000000">
        <w:rPr>
          <w:rFonts w:ascii="Times New Roman" w:cs="Times New Roman" w:eastAsia="Times New Roman" w:hAnsi="Times New Roman"/>
          <w:b w:val="1"/>
          <w:sz w:val="18"/>
          <w:szCs w:val="18"/>
          <w:u w:val="single"/>
          <w:rtl w:val="0"/>
        </w:rPr>
        <w:t xml:space="preserve">l’esclusione della graduatoria interna di istituto ai sensi della normativa vigente</w:t>
      </w:r>
      <w:r w:rsidDel="00000000" w:rsidR="00000000" w:rsidRPr="00000000">
        <w:rPr>
          <w:rtl w:val="0"/>
        </w:rPr>
      </w:r>
    </w:p>
    <w:p w:rsidR="00000000" w:rsidDel="00000000" w:rsidP="00000000" w:rsidRDefault="00000000" w:rsidRPr="00000000" w14:paraId="00000127">
      <w:pPr>
        <w:spacing w:before="6" w:lineRule="auto"/>
        <w:rPr>
          <w:rFonts w:ascii="Times New Roman" w:cs="Times New Roman" w:eastAsia="Times New Roman" w:hAnsi="Times New Roman"/>
          <w:b w:val="1"/>
          <w:sz w:val="12"/>
          <w:szCs w:val="12"/>
        </w:rPr>
      </w:pPr>
      <w:r w:rsidDel="00000000" w:rsidR="00000000" w:rsidRPr="00000000">
        <w:rPr>
          <w:rtl w:val="0"/>
        </w:rPr>
      </w:r>
    </w:p>
    <w:p w:rsidR="00000000" w:rsidDel="00000000" w:rsidP="00000000" w:rsidRDefault="00000000" w:rsidRPr="00000000" w14:paraId="00000128">
      <w:pPr>
        <w:spacing w:before="91" w:line="224" w:lineRule="auto"/>
        <w:ind w:left="4101" w:right="4486"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u w:val="single"/>
          <w:rtl w:val="0"/>
        </w:rPr>
        <w:t xml:space="preserve">ALLEGO</w:t>
      </w:r>
      <w:r w:rsidDel="00000000" w:rsidR="00000000" w:rsidRPr="00000000">
        <w:rPr>
          <w:rtl w:val="0"/>
        </w:rPr>
      </w:r>
    </w:p>
    <w:p w:rsidR="00000000" w:rsidDel="00000000" w:rsidP="00000000" w:rsidRDefault="00000000" w:rsidRPr="00000000" w14:paraId="00000129">
      <w:pPr>
        <w:numPr>
          <w:ilvl w:val="0"/>
          <w:numId w:val="6"/>
        </w:numPr>
        <w:tabs>
          <w:tab w:val="left" w:leader="none" w:pos="920"/>
          <w:tab w:val="left" w:leader="none" w:pos="921"/>
        </w:tabs>
        <w:spacing w:line="244" w:lineRule="auto"/>
        <w:ind w:left="1064" w:right="805" w:hanging="711"/>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Documentazione e certificazione ai sensi dell’art. 40 del CCNI CCNI Triennio 2022/23 -2023/24-2024/25 (</w:t>
      </w:r>
      <w:r w:rsidDel="00000000" w:rsidR="00000000" w:rsidRPr="00000000">
        <w:rPr>
          <w:rFonts w:ascii="Times New Roman" w:cs="Times New Roman" w:eastAsia="Times New Roman" w:hAnsi="Times New Roman"/>
          <w:b w:val="1"/>
          <w:sz w:val="18"/>
          <w:szCs w:val="18"/>
          <w:rtl w:val="0"/>
        </w:rPr>
        <w:t xml:space="preserve">sottoscritto in data 18/05/2022</w:t>
      </w:r>
      <w:r w:rsidDel="00000000" w:rsidR="00000000" w:rsidRPr="00000000">
        <w:rPr>
          <w:rFonts w:ascii="Times New Roman" w:cs="Times New Roman" w:eastAsia="Times New Roman" w:hAnsi="Times New Roman"/>
          <w:sz w:val="18"/>
          <w:szCs w:val="18"/>
          <w:rtl w:val="0"/>
        </w:rPr>
        <w:t xml:space="preserve">)</w:t>
      </w:r>
    </w:p>
    <w:p w:rsidR="00000000" w:rsidDel="00000000" w:rsidP="00000000" w:rsidRDefault="00000000" w:rsidRPr="00000000" w14:paraId="0000012A">
      <w:pPr>
        <w:numPr>
          <w:ilvl w:val="0"/>
          <w:numId w:val="6"/>
        </w:numPr>
        <w:tabs>
          <w:tab w:val="left" w:leader="none" w:pos="920"/>
          <w:tab w:val="left" w:leader="none" w:pos="921"/>
        </w:tabs>
        <w:spacing w:line="246.99999999999994" w:lineRule="auto"/>
        <w:ind w:left="939" w:right="620" w:hanging="587"/>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Le documentazioni e le certificazioni di cui all’art. 40 del CCNI CCNI Triennio 2022/23 -2023/24-2024/25 (</w:t>
      </w:r>
      <w:r w:rsidDel="00000000" w:rsidR="00000000" w:rsidRPr="00000000">
        <w:rPr>
          <w:rFonts w:ascii="Times New Roman" w:cs="Times New Roman" w:eastAsia="Times New Roman" w:hAnsi="Times New Roman"/>
          <w:b w:val="1"/>
          <w:sz w:val="18"/>
          <w:szCs w:val="18"/>
          <w:rtl w:val="0"/>
        </w:rPr>
        <w:t xml:space="preserve">sottoscritto in data 18/05/2022</w:t>
      </w:r>
      <w:r w:rsidDel="00000000" w:rsidR="00000000" w:rsidRPr="00000000">
        <w:rPr>
          <w:rFonts w:ascii="Times New Roman" w:cs="Times New Roman" w:eastAsia="Times New Roman" w:hAnsi="Times New Roman"/>
          <w:sz w:val="18"/>
          <w:szCs w:val="18"/>
          <w:rtl w:val="0"/>
        </w:rPr>
        <w:t xml:space="preserve">) sono agli atti della scuola e vigenti alla data attuale.</w:t>
      </w:r>
    </w:p>
    <w:p w:rsidR="00000000" w:rsidDel="00000000" w:rsidP="00000000" w:rsidRDefault="00000000" w:rsidRPr="00000000" w14:paraId="0000012B">
      <w:pPr>
        <w:numPr>
          <w:ilvl w:val="0"/>
          <w:numId w:val="6"/>
        </w:numPr>
        <w:tabs>
          <w:tab w:val="left" w:leader="none" w:pos="920"/>
          <w:tab w:val="left" w:leader="none" w:pos="921"/>
        </w:tabs>
        <w:spacing w:line="256" w:lineRule="auto"/>
        <w:ind w:left="942" w:right="538" w:hanging="589"/>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Di aver prodotto per l’A. S. 2023/2024 domanda di trasferimento per …………………………… comune/comune viciniore dove assiste il familiare.</w:t>
      </w:r>
    </w:p>
    <w:p w:rsidR="00000000" w:rsidDel="00000000" w:rsidP="00000000" w:rsidRDefault="00000000" w:rsidRPr="00000000" w14:paraId="0000012C">
      <w:pPr>
        <w:spacing w:before="8"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12D">
      <w:pPr>
        <w:spacing w:before="8"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u w:val="single"/>
          <w:rtl w:val="0"/>
        </w:rPr>
        <w:t xml:space="preserve">Data ………………………………</w:t>
        <w:tab/>
        <w:tab/>
        <w:tab/>
        <w:tab/>
        <w:tab/>
        <w:tab/>
        <w:t xml:space="preserve">Firma………………………………..</w:t>
      </w:r>
      <w:r w:rsidDel="00000000" w:rsidR="00000000" w:rsidRPr="00000000">
        <w:rPr>
          <w:rtl w:val="0"/>
        </w:rPr>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1" w:right="0" w:firstLine="0"/>
        <w:jc w:val="left"/>
        <w:rPr>
          <w:rFonts w:ascii="Calibri" w:cs="Calibri" w:eastAsia="Calibri" w:hAnsi="Calibri"/>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0"/>
          <w:szCs w:val="20"/>
          <w:u w:val="none"/>
          <w:shd w:fill="auto" w:val="clear"/>
          <w:vertAlign w:val="baseline"/>
        </w:rPr>
        <mc:AlternateContent>
          <mc:Choice Requires="wpg">
            <w:drawing>
              <wp:inline distB="0" distT="0" distL="0" distR="0">
                <wp:extent cx="6450965" cy="821690"/>
                <wp:effectExtent b="0" l="0" r="0" t="0"/>
                <wp:docPr id="21" name=""/>
                <a:graphic>
                  <a:graphicData uri="http://schemas.microsoft.com/office/word/2010/wordprocessingGroup">
                    <wpg:wgp>
                      <wpg:cNvGrpSpPr/>
                      <wpg:grpSpPr>
                        <a:xfrm>
                          <a:off x="2120500" y="3369150"/>
                          <a:ext cx="6450965" cy="821690"/>
                          <a:chOff x="2120500" y="3369150"/>
                          <a:chExt cx="6450975" cy="821700"/>
                        </a:xfrm>
                      </wpg:grpSpPr>
                      <wpg:grpSp>
                        <wpg:cNvGrpSpPr/>
                        <wpg:grpSpPr>
                          <a:xfrm>
                            <a:off x="2120518" y="3369155"/>
                            <a:ext cx="6450965" cy="821690"/>
                            <a:chOff x="0" y="0"/>
                            <a:chExt cx="6450965" cy="821690"/>
                          </a:xfrm>
                        </wpg:grpSpPr>
                        <wps:wsp>
                          <wps:cNvSpPr/>
                          <wps:cNvPr id="4" name="Shape 4"/>
                          <wps:spPr>
                            <a:xfrm>
                              <a:off x="0" y="0"/>
                              <a:ext cx="6450950" cy="821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0" y="0"/>
                              <a:ext cx="6450965" cy="821690"/>
                            </a:xfrm>
                            <a:custGeom>
                              <a:rect b="b" l="l" r="r" t="t"/>
                              <a:pathLst>
                                <a:path extrusionOk="0" h="821690" w="6450965">
                                  <a:moveTo>
                                    <a:pt x="6450670" y="821217"/>
                                  </a:moveTo>
                                  <a:lnTo>
                                    <a:pt x="0" y="821217"/>
                                  </a:lnTo>
                                  <a:lnTo>
                                    <a:pt x="0" y="0"/>
                                  </a:lnTo>
                                  <a:lnTo>
                                    <a:pt x="6450670" y="0"/>
                                  </a:lnTo>
                                  <a:lnTo>
                                    <a:pt x="6450670" y="821217"/>
                                  </a:lnTo>
                                  <a:close/>
                                </a:path>
                              </a:pathLst>
                            </a:custGeom>
                            <a:solidFill>
                              <a:srgbClr val="FFFFFF"/>
                            </a:solidFill>
                            <a:ln>
                              <a:noFill/>
                            </a:ln>
                          </wps:spPr>
                          <wps:bodyPr anchorCtr="0" anchor="ctr" bIns="91425" lIns="91425" spcFirstLastPara="1" rIns="91425" wrap="square" tIns="91425">
                            <a:noAutofit/>
                          </wps:bodyPr>
                        </wps:wsp>
                      </wpg:grpSp>
                    </wpg:wgp>
                  </a:graphicData>
                </a:graphic>
              </wp:inline>
            </w:drawing>
          </mc:Choice>
          <mc:Fallback>
            <w:drawing>
              <wp:inline distB="0" distT="0" distL="0" distR="0">
                <wp:extent cx="6450965" cy="821690"/>
                <wp:effectExtent b="0" l="0" r="0" t="0"/>
                <wp:docPr id="2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6450965" cy="82169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2" w:right="855"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NOTE COMUNI ALLE TABELLE DEI TRASFERIMENTI A DOMANDA E D’UFFICIO E DEI PASSAGGI DEI DOCENTI DELLE SCUOLE DELL’INFANZIA, PRIMARIA, SECONDARIA DI I GRADO E DEGLI ISTITUTI DI ISTRUZIONE SECONDARIA DI II GRADO ED ARTISTICA E DEL PERSONALE EDUCATIVO</w: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558800</wp:posOffset>
                </wp:positionH>
                <wp:positionV relativeFrom="paragraph">
                  <wp:posOffset>-939799</wp:posOffset>
                </wp:positionV>
                <wp:extent cx="5842000" cy="775335"/>
                <wp:effectExtent b="0" l="0" r="0" t="0"/>
                <wp:wrapNone/>
                <wp:docPr id="25" name=""/>
                <a:graphic>
                  <a:graphicData uri="http://schemas.microsoft.com/office/word/2010/wordprocessingShape">
                    <wps:wsp>
                      <wps:cNvSpPr/>
                      <wps:cNvPr id="23" name="Shape 23"/>
                      <wps:spPr>
                        <a:xfrm>
                          <a:off x="2429763" y="3397095"/>
                          <a:ext cx="5832475" cy="765810"/>
                        </a:xfrm>
                        <a:prstGeom prst="rect">
                          <a:avLst/>
                        </a:prstGeom>
                        <a:noFill/>
                        <a:ln>
                          <a:noFill/>
                        </a:ln>
                      </wps:spPr>
                      <wps:txbx>
                        <w:txbxContent>
                          <w:p w:rsidR="00000000" w:rsidDel="00000000" w:rsidP="00000000" w:rsidRDefault="00000000" w:rsidRPr="00000000">
                            <w:pPr>
                              <w:spacing w:after="0" w:before="0" w:line="240"/>
                              <w:ind w:left="0" w:right="639.0000152587891"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t xml:space="preserve">N) CLIL per i docenti NON in possesso di Certificazione di livello C1, ma che avendo svolto la parte metodologica presso le strutture universitarie, sono in possesso di un ATTESTATO di frequenza al corso di perfezionamento.</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0"/>
                                <w:vertAlign w:val="baseline"/>
                              </w:rPr>
                              <w:t xml:space="preserve">NB: in questo caso il docente ha una competenza linguistica B2 NON certificata, ma ha</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20"/>
                                <w:vertAlign w:val="baseline"/>
                              </w:rPr>
                            </w:r>
                            <w:r w:rsidDel="00000000" w:rsidR="00000000" w:rsidRPr="00000000">
                              <w:rPr>
                                <w:rFonts w:ascii="Tahoma" w:cs="Tahoma" w:eastAsia="Tahoma" w:hAnsi="Tahoma"/>
                                <w:b w:val="0"/>
                                <w:i w:val="0"/>
                                <w:smallCaps w:val="0"/>
                                <w:strike w:val="0"/>
                                <w:color w:val="000000"/>
                                <w:sz w:val="20"/>
                                <w:vertAlign w:val="baseline"/>
                              </w:rPr>
                              <w:t xml:space="preserve">frequentato il corso e superato l’esame finale	Punti 0,5</w:t>
                            </w: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558800</wp:posOffset>
                </wp:positionH>
                <wp:positionV relativeFrom="paragraph">
                  <wp:posOffset>-939799</wp:posOffset>
                </wp:positionV>
                <wp:extent cx="5842000" cy="775335"/>
                <wp:effectExtent b="0" l="0" r="0" t="0"/>
                <wp:wrapNone/>
                <wp:docPr id="25"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5842000" cy="775335"/>
                        </a:xfrm>
                        <a:prstGeom prst="rect"/>
                        <a:ln/>
                      </pic:spPr>
                    </pic:pic>
                  </a:graphicData>
                </a:graphic>
              </wp:anchor>
            </w:drawing>
          </mc:Fallback>
        </mc:AlternateConten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2"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 R E M E S S A</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7" w:line="240" w:lineRule="auto"/>
        <w:ind w:left="812" w:right="864"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Ai fini dell’attribuzione del punteggio per le domande di trasferimento, per le domande di passaggio di ruolo e per l’individuazione del perdente posto si precisa quanto segue:</w:t>
      </w:r>
    </w:p>
    <w:p w:rsidR="00000000" w:rsidDel="00000000" w:rsidP="00000000" w:rsidRDefault="00000000" w:rsidRPr="00000000" w14:paraId="0000013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498"/>
        </w:tabs>
        <w:spacing w:after="0" w:before="0" w:line="240" w:lineRule="auto"/>
        <w:ind w:left="1498" w:right="0" w:hanging="119.00000000000006"/>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nell’anzianità di servizio non si tiene conto dell’anno scolastico in corso;</w:t>
      </w:r>
    </w:p>
    <w:p w:rsidR="00000000" w:rsidDel="00000000" w:rsidP="00000000" w:rsidRDefault="00000000" w:rsidRPr="00000000" w14:paraId="0000013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495"/>
        </w:tabs>
        <w:spacing w:after="0" w:before="1" w:line="240" w:lineRule="auto"/>
        <w:ind w:left="1495" w:right="0" w:hanging="115.99999999999994"/>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nella valutazione dei titoli vengono considerati quelli posseduti entro il termine previsto per la presentazione delle</w:t>
      </w:r>
    </w:p>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17" w:lineRule="auto"/>
        <w:ind w:left="1379"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domande dall’annuale O.M.;</w:t>
      </w:r>
    </w:p>
    <w:p w:rsidR="00000000" w:rsidDel="00000000" w:rsidP="00000000" w:rsidRDefault="00000000" w:rsidRPr="00000000" w14:paraId="0000013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1512"/>
        </w:tabs>
        <w:spacing w:after="0" w:before="0" w:line="240" w:lineRule="auto"/>
        <w:ind w:left="1379" w:right="857"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nella valutazione delle esigenze di famiglia (per i trasferimenti a domanda e d’ufficio) è necessario che queste sussistano alla data della presentazione della domanda. Soltanto nel caso dei figli si considerano quelli che compiono i sei anni o i diciotto anni entro il 31 dicembre dell’anno in cui si effettua il trasferimento.</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12" w:right="849"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decreto legislativo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da quella di attuale titolarità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restitutio in integrum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dell’art. 16, decreto legge 30 gennaio 1976, n. 13 convertito dalla legge 30.3.1976, n. 88. Il servizio prestato in ruoli diversi da quello di appartenenza, a seguito di utilizzazione o assegnazione provvisoria, è valutato ai sensi della lettera A) con riferimento al ruolo di appartenenza.</w:t>
      </w:r>
    </w:p>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12" w:right="85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pre- 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 devono essere debitamente certificati dall’Autorità diplomatica italiana nello Stato estero.</w:t>
      </w:r>
    </w:p>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2" w:right="855"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decreto legislativo n. 297/94 ai fini della valutabilità per la carriera ovvero il servizio pre-ruolo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2" w:right="852"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La valutazione del servizio di cui alle lettere A), A1) e B) è riconosciuta anche al personale proveniente dagli Enti Locali e che abbia svolto, prima del trasferimento allo Stato, effettivo servizio di docente nelle scuole statali.</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2" w:right="855"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Per gli insegnanti di educazione fisica non è riconoscibile il servizio prestato senza il possesso del diploma rilasciato dall'I.S.E.F. o di titoli equipollenti secondo l'ordinamento anteriore alla legge 7.2.1958, n. 88 (tab. A, classe A029 e A 030 decreto ministeriale 30.1.1998 n. 39 e successive modifiche).</w:t>
      </w:r>
    </w:p>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812"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La valutazione degli anni del servizio pre-ruolo nella mobilità a domanda viene effettuata per intero (6 punti per ogni</w:t>
      </w:r>
    </w:p>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812"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anno). Nella mobilità d’ufficio viene effettuata nella seguente maniera: - i primi 4 anni sono valutati 3 punti per ogni anno</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17" w:lineRule="auto"/>
        <w:ind w:left="812"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il periodo eccedente i 4 anni è valutato per i 2/3 (due punti per ogni anno).</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2" w:right="852" w:firstLine="0"/>
        <w:jc w:val="both"/>
        <w:rPr>
          <w:rFonts w:ascii="Tahoma" w:cs="Tahoma" w:eastAsia="Tahoma" w:hAnsi="Tahoma"/>
          <w:b w:val="0"/>
          <w:i w:val="0"/>
          <w:smallCaps w:val="0"/>
          <w:strike w:val="0"/>
          <w:color w:val="000000"/>
          <w:sz w:val="18"/>
          <w:szCs w:val="18"/>
          <w:u w:val="none"/>
          <w:shd w:fill="auto" w:val="clear"/>
          <w:vertAlign w:val="baseline"/>
        </w:rPr>
        <w:sectPr>
          <w:footerReference r:id="rId9" w:type="default"/>
          <w:type w:val="nextPage"/>
          <w:pgSz w:h="16840" w:w="11910" w:orient="portrait"/>
          <w:pgMar w:bottom="1140" w:top="851" w:left="320" w:right="280" w:header="0" w:footer="946"/>
          <w:pgNumType w:start="85"/>
        </w:sect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Nel caso della mobilità d’ufficio, ad esempio, il docente che ha prestato 6 anni di servizio pre-ruolo, che viene riconosciuto o riconoscibile ai fini della progressione di carriera nella misura di 5 anni e 4 mesi, ha diritto, per tale servizio, all'attribuzione di punti 16 derivanti dal seguente calcolo:</w:t>
      </w:r>
    </w:p>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5"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mc:AlternateContent>
          <mc:Choice Requires="wpg">
            <w:drawing>
              <wp:inline distB="0" distT="0" distL="0" distR="0">
                <wp:extent cx="6271260" cy="593090"/>
                <wp:effectExtent b="0" l="0" r="0" t="0"/>
                <wp:docPr id="23" name=""/>
                <a:graphic>
                  <a:graphicData uri="http://schemas.microsoft.com/office/word/2010/wordprocessingGroup">
                    <wpg:wgp>
                      <wpg:cNvGrpSpPr/>
                      <wpg:grpSpPr>
                        <a:xfrm>
                          <a:off x="2210350" y="3483450"/>
                          <a:ext cx="6271260" cy="593090"/>
                          <a:chOff x="2210350" y="3483450"/>
                          <a:chExt cx="6271275" cy="593100"/>
                        </a:xfrm>
                      </wpg:grpSpPr>
                      <wpg:grpSp>
                        <wpg:cNvGrpSpPr/>
                        <wpg:grpSpPr>
                          <a:xfrm>
                            <a:off x="2210370" y="3483455"/>
                            <a:ext cx="6271260" cy="593356"/>
                            <a:chOff x="0" y="0"/>
                            <a:chExt cx="6271260" cy="593356"/>
                          </a:xfrm>
                        </wpg:grpSpPr>
                        <wps:wsp>
                          <wps:cNvSpPr/>
                          <wps:cNvPr id="4" name="Shape 4"/>
                          <wps:spPr>
                            <a:xfrm>
                              <a:off x="0" y="0"/>
                              <a:ext cx="6271250" cy="5930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a:off x="0" y="0"/>
                              <a:ext cx="6271260" cy="297815"/>
                            </a:xfrm>
                            <a:custGeom>
                              <a:rect b="b" l="l" r="r" t="t"/>
                              <a:pathLst>
                                <a:path extrusionOk="0" h="297815" w="6271260">
                                  <a:moveTo>
                                    <a:pt x="6083" y="0"/>
                                  </a:moveTo>
                                  <a:lnTo>
                                    <a:pt x="0" y="0"/>
                                  </a:lnTo>
                                  <a:lnTo>
                                    <a:pt x="0" y="6096"/>
                                  </a:lnTo>
                                  <a:lnTo>
                                    <a:pt x="0" y="156921"/>
                                  </a:lnTo>
                                  <a:lnTo>
                                    <a:pt x="0" y="297434"/>
                                  </a:lnTo>
                                  <a:lnTo>
                                    <a:pt x="6083" y="297434"/>
                                  </a:lnTo>
                                  <a:lnTo>
                                    <a:pt x="6083" y="156972"/>
                                  </a:lnTo>
                                  <a:lnTo>
                                    <a:pt x="6083" y="6096"/>
                                  </a:lnTo>
                                  <a:lnTo>
                                    <a:pt x="6083" y="0"/>
                                  </a:lnTo>
                                  <a:close/>
                                </a:path>
                                <a:path extrusionOk="0" h="297815" w="6271260">
                                  <a:moveTo>
                                    <a:pt x="6270993" y="0"/>
                                  </a:moveTo>
                                  <a:lnTo>
                                    <a:pt x="6264910" y="0"/>
                                  </a:lnTo>
                                  <a:lnTo>
                                    <a:pt x="6096" y="0"/>
                                  </a:lnTo>
                                  <a:lnTo>
                                    <a:pt x="6096" y="6096"/>
                                  </a:lnTo>
                                  <a:lnTo>
                                    <a:pt x="6264910" y="6096"/>
                                  </a:lnTo>
                                  <a:lnTo>
                                    <a:pt x="6264910" y="156921"/>
                                  </a:lnTo>
                                  <a:lnTo>
                                    <a:pt x="6264910" y="297434"/>
                                  </a:lnTo>
                                  <a:lnTo>
                                    <a:pt x="6270993" y="297434"/>
                                  </a:lnTo>
                                  <a:lnTo>
                                    <a:pt x="6270993" y="156972"/>
                                  </a:lnTo>
                                  <a:lnTo>
                                    <a:pt x="6270993" y="6096"/>
                                  </a:lnTo>
                                  <a:lnTo>
                                    <a:pt x="6270993" y="0"/>
                                  </a:lnTo>
                                  <a:close/>
                                </a:path>
                              </a:pathLst>
                            </a:custGeom>
                            <a:solidFill>
                              <a:srgbClr val="000000"/>
                            </a:solidFill>
                            <a:ln>
                              <a:noFill/>
                            </a:ln>
                          </wps:spPr>
                          <wps:bodyPr anchorCtr="0" anchor="ctr" bIns="91425" lIns="91425" spcFirstLastPara="1" rIns="91425" wrap="square" tIns="91425">
                            <a:noAutofit/>
                          </wps:bodyPr>
                        </wps:wsp>
                        <wps:wsp>
                          <wps:cNvSpPr/>
                          <wps:cNvPr id="11" name="Shape 11"/>
                          <wps:spPr>
                            <a:xfrm>
                              <a:off x="74676" y="426345"/>
                              <a:ext cx="375285" cy="1270"/>
                            </a:xfrm>
                            <a:custGeom>
                              <a:rect b="b" l="l" r="r" t="t"/>
                              <a:pathLst>
                                <a:path extrusionOk="0" h="120000" w="375285">
                                  <a:moveTo>
                                    <a:pt x="0" y="0"/>
                                  </a:moveTo>
                                  <a:lnTo>
                                    <a:pt x="374904" y="0"/>
                                  </a:lnTo>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2" name="Shape 12"/>
                          <wps:spPr>
                            <a:xfrm>
                              <a:off x="0" y="297446"/>
                              <a:ext cx="6271260" cy="295910"/>
                            </a:xfrm>
                            <a:custGeom>
                              <a:rect b="b" l="l" r="r" t="t"/>
                              <a:pathLst>
                                <a:path extrusionOk="0" h="295910" w="6271260">
                                  <a:moveTo>
                                    <a:pt x="6083" y="0"/>
                                  </a:moveTo>
                                  <a:lnTo>
                                    <a:pt x="0" y="0"/>
                                  </a:lnTo>
                                  <a:lnTo>
                                    <a:pt x="0" y="138671"/>
                                  </a:lnTo>
                                  <a:lnTo>
                                    <a:pt x="0" y="289547"/>
                                  </a:lnTo>
                                  <a:lnTo>
                                    <a:pt x="0" y="295643"/>
                                  </a:lnTo>
                                  <a:lnTo>
                                    <a:pt x="6083" y="295643"/>
                                  </a:lnTo>
                                  <a:lnTo>
                                    <a:pt x="6083" y="289547"/>
                                  </a:lnTo>
                                  <a:lnTo>
                                    <a:pt x="6083" y="138671"/>
                                  </a:lnTo>
                                  <a:lnTo>
                                    <a:pt x="6083" y="0"/>
                                  </a:lnTo>
                                  <a:close/>
                                </a:path>
                                <a:path extrusionOk="0" h="295910" w="6271260">
                                  <a:moveTo>
                                    <a:pt x="6270993" y="0"/>
                                  </a:moveTo>
                                  <a:lnTo>
                                    <a:pt x="6264910" y="0"/>
                                  </a:lnTo>
                                  <a:lnTo>
                                    <a:pt x="6264910" y="138671"/>
                                  </a:lnTo>
                                  <a:lnTo>
                                    <a:pt x="6264910" y="289547"/>
                                  </a:lnTo>
                                  <a:lnTo>
                                    <a:pt x="6096" y="289547"/>
                                  </a:lnTo>
                                  <a:lnTo>
                                    <a:pt x="6096" y="295643"/>
                                  </a:lnTo>
                                  <a:lnTo>
                                    <a:pt x="6264910" y="295643"/>
                                  </a:lnTo>
                                  <a:lnTo>
                                    <a:pt x="6270993" y="295643"/>
                                  </a:lnTo>
                                  <a:lnTo>
                                    <a:pt x="6270993" y="289547"/>
                                  </a:lnTo>
                                  <a:lnTo>
                                    <a:pt x="6270993" y="138671"/>
                                  </a:lnTo>
                                  <a:lnTo>
                                    <a:pt x="6270993" y="0"/>
                                  </a:lnTo>
                                  <a:close/>
                                </a:path>
                              </a:pathLst>
                            </a:custGeom>
                            <a:solidFill>
                              <a:srgbClr val="000000"/>
                            </a:solidFill>
                            <a:ln>
                              <a:noFill/>
                            </a:ln>
                          </wps:spPr>
                          <wps:bodyPr anchorCtr="0" anchor="ctr" bIns="91425" lIns="91425" spcFirstLastPara="1" rIns="91425" wrap="square" tIns="91425">
                            <a:noAutofit/>
                          </wps:bodyPr>
                        </wps:wsp>
                        <wps:wsp>
                          <wps:cNvSpPr/>
                          <wps:cNvPr id="13" name="Shape 13"/>
                          <wps:spPr>
                            <a:xfrm>
                              <a:off x="74676" y="18232"/>
                              <a:ext cx="1837689" cy="278765"/>
                            </a:xfrm>
                            <a:prstGeom prst="rect">
                              <a:avLst/>
                            </a:prstGeom>
                            <a:noFill/>
                            <a:ln>
                              <a:noFill/>
                            </a:ln>
                          </wps:spPr>
                          <wps:txbx>
                            <w:txbxContent>
                              <w:p w:rsidR="00000000" w:rsidDel="00000000" w:rsidP="00000000" w:rsidRDefault="00000000" w:rsidRPr="00000000">
                                <w:pPr>
                                  <w:spacing w:after="0" w:before="0" w:line="243.99999618530273"/>
                                  <w:ind w:left="0" w:right="0" w:firstLine="0"/>
                                  <w:jc w:val="left"/>
                                  <w:textDirection w:val="btLr"/>
                                </w:pPr>
                                <w:r w:rsidDel="00000000" w:rsidR="00000000" w:rsidRPr="00000000">
                                  <w:rPr>
                                    <w:rFonts w:ascii="Tahoma" w:cs="Tahoma" w:eastAsia="Tahoma" w:hAnsi="Tahoma"/>
                                    <w:b w:val="0"/>
                                    <w:i w:val="0"/>
                                    <w:smallCaps w:val="0"/>
                                    <w:strike w:val="0"/>
                                    <w:color w:val="000000"/>
                                    <w:sz w:val="18"/>
                                    <w:vertAlign w:val="baseline"/>
                                  </w:rPr>
                                  <w:t xml:space="preserve">primi 4 anni (valutati per intero) rimanenti 2 anni (valutati due terzi)</w:t>
                                </w:r>
                              </w:p>
                            </w:txbxContent>
                          </wps:txbx>
                          <wps:bodyPr anchorCtr="0" anchor="t" bIns="0" lIns="0" spcFirstLastPara="1" rIns="0" wrap="square" tIns="0">
                            <a:noAutofit/>
                          </wps:bodyPr>
                        </wps:wsp>
                        <wps:wsp>
                          <wps:cNvSpPr/>
                          <wps:cNvPr id="14" name="Shape 14"/>
                          <wps:spPr>
                            <a:xfrm>
                              <a:off x="2015363" y="17674"/>
                              <a:ext cx="125730" cy="14033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Noto Sans Symbols" w:cs="Noto Sans Symbols" w:eastAsia="Noto Sans Symbols" w:hAnsi="Noto Sans Symbols"/>
                                    <w:b w:val="0"/>
                                    <w:i w:val="0"/>
                                    <w:smallCaps w:val="0"/>
                                    <w:strike w:val="0"/>
                                    <w:color w:val="000000"/>
                                    <w:sz w:val="18"/>
                                    <w:vertAlign w:val="baseline"/>
                                  </w:rPr>
                                  <w:t xml:space="preserve"></w:t>
                                </w:r>
                              </w:p>
                            </w:txbxContent>
                          </wps:txbx>
                          <wps:bodyPr anchorCtr="0" anchor="t" bIns="0" lIns="0" spcFirstLastPara="1" rIns="0" wrap="square" tIns="0">
                            <a:noAutofit/>
                          </wps:bodyPr>
                        </wps:wsp>
                        <wps:wsp>
                          <wps:cNvSpPr/>
                          <wps:cNvPr id="15" name="Shape 15"/>
                          <wps:spPr>
                            <a:xfrm>
                              <a:off x="2556382" y="18232"/>
                              <a:ext cx="1448435" cy="13843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18"/>
                                    <w:vertAlign w:val="baseline"/>
                                  </w:rPr>
                                  <w:t xml:space="preserve">4 anni x 3 punti = 12 punti</w:t>
                                </w:r>
                              </w:p>
                            </w:txbxContent>
                          </wps:txbx>
                          <wps:bodyPr anchorCtr="0" anchor="t" bIns="0" lIns="0" spcFirstLastPara="1" rIns="0" wrap="square" tIns="0">
                            <a:noAutofit/>
                          </wps:bodyPr>
                        </wps:wsp>
                        <wps:wsp>
                          <wps:cNvSpPr/>
                          <wps:cNvPr id="16" name="Shape 16"/>
                          <wps:spPr>
                            <a:xfrm>
                              <a:off x="2007742" y="158136"/>
                              <a:ext cx="1971039" cy="14033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Noto Sans Symbols" w:cs="Noto Sans Symbols" w:eastAsia="Noto Sans Symbols" w:hAnsi="Noto Sans Symbols"/>
                                    <w:b w:val="0"/>
                                    <w:i w:val="0"/>
                                    <w:smallCaps w:val="0"/>
                                    <w:strike w:val="0"/>
                                    <w:color w:val="000000"/>
                                    <w:sz w:val="18"/>
                                    <w:vertAlign w:val="baseline"/>
                                  </w:rPr>
                                  <w:t xml:space="preserve"></w:t>
                                </w:r>
                                <w:r w:rsidDel="00000000" w:rsidR="00000000" w:rsidRPr="00000000">
                                  <w:rPr>
                                    <w:rFonts w:ascii="Times New Roman" w:cs="Times New Roman" w:eastAsia="Times New Roman" w:hAnsi="Times New Roman"/>
                                    <w:b w:val="0"/>
                                    <w:i w:val="0"/>
                                    <w:smallCaps w:val="0"/>
                                    <w:strike w:val="0"/>
                                    <w:color w:val="000000"/>
                                    <w:sz w:val="18"/>
                                    <w:vertAlign w:val="baseline"/>
                                  </w:rPr>
                                  <w:t xml:space="preserve">	</w:t>
                                </w:r>
                                <w:r w:rsidDel="00000000" w:rsidR="00000000" w:rsidRPr="00000000">
                                  <w:rPr>
                                    <w:rFonts w:ascii="Tahoma" w:cs="Tahoma" w:eastAsia="Tahoma" w:hAnsi="Tahoma"/>
                                    <w:b w:val="0"/>
                                    <w:i w:val="0"/>
                                    <w:smallCaps w:val="0"/>
                                    <w:strike w:val="0"/>
                                    <w:color w:val="000000"/>
                                    <w:sz w:val="18"/>
                                    <w:vertAlign w:val="baseline"/>
                                  </w:rPr>
                                  <w:t xml:space="preserve">2/3 x 2 anni x 3 punti = 4 punti</w:t>
                                </w:r>
                              </w:p>
                            </w:txbxContent>
                          </wps:txbx>
                          <wps:bodyPr anchorCtr="0" anchor="t" bIns="0" lIns="0" spcFirstLastPara="1" rIns="0" wrap="square" tIns="0">
                            <a:noAutofit/>
                          </wps:bodyPr>
                        </wps:wsp>
                        <wps:wsp>
                          <wps:cNvSpPr/>
                          <wps:cNvPr id="17" name="Shape 17"/>
                          <wps:spPr>
                            <a:xfrm>
                              <a:off x="74676" y="436062"/>
                              <a:ext cx="1474470" cy="13843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18"/>
                                    <w:vertAlign w:val="baseline"/>
                                  </w:rPr>
                                  <w:t xml:space="preserve">totale:	12 punti + 4 punti</w:t>
                                </w:r>
                              </w:p>
                            </w:txbxContent>
                          </wps:txbx>
                          <wps:bodyPr anchorCtr="0" anchor="t" bIns="0" lIns="0" spcFirstLastPara="1" rIns="0" wrap="square" tIns="0">
                            <a:noAutofit/>
                          </wps:bodyPr>
                        </wps:wsp>
                        <wps:wsp>
                          <wps:cNvSpPr/>
                          <wps:cNvPr id="18" name="Shape 18"/>
                          <wps:spPr>
                            <a:xfrm>
                              <a:off x="2108326" y="435504"/>
                              <a:ext cx="125730" cy="14033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Noto Sans Symbols" w:cs="Noto Sans Symbols" w:eastAsia="Noto Sans Symbols" w:hAnsi="Noto Sans Symbols"/>
                                    <w:b w:val="0"/>
                                    <w:i w:val="0"/>
                                    <w:smallCaps w:val="0"/>
                                    <w:strike w:val="0"/>
                                    <w:color w:val="000000"/>
                                    <w:sz w:val="18"/>
                                    <w:vertAlign w:val="baseline"/>
                                  </w:rPr>
                                  <w:t xml:space="preserve"></w:t>
                                </w:r>
                              </w:p>
                            </w:txbxContent>
                          </wps:txbx>
                          <wps:bodyPr anchorCtr="0" anchor="t" bIns="0" lIns="0" spcFirstLastPara="1" rIns="0" wrap="square" tIns="0">
                            <a:noAutofit/>
                          </wps:bodyPr>
                        </wps:wsp>
                        <wps:wsp>
                          <wps:cNvSpPr/>
                          <wps:cNvPr id="19" name="Shape 19"/>
                          <wps:spPr>
                            <a:xfrm>
                              <a:off x="3757548" y="436062"/>
                              <a:ext cx="464184" cy="13843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18"/>
                                    <w:vertAlign w:val="baseline"/>
                                  </w:rPr>
                                  <w:t xml:space="preserve">16 punti.</w:t>
                                </w:r>
                              </w:p>
                            </w:txbxContent>
                          </wps:txbx>
                          <wps:bodyPr anchorCtr="0" anchor="t" bIns="0" lIns="0" spcFirstLastPara="1" rIns="0" wrap="square" tIns="0">
                            <a:noAutofit/>
                          </wps:bodyPr>
                        </wps:wsp>
                      </wpg:grpSp>
                    </wpg:wgp>
                  </a:graphicData>
                </a:graphic>
              </wp:inline>
            </w:drawing>
          </mc:Choice>
          <mc:Fallback>
            <w:drawing>
              <wp:inline distB="0" distT="0" distL="0" distR="0">
                <wp:extent cx="6271260" cy="593090"/>
                <wp:effectExtent b="0" l="0" r="0" t="0"/>
                <wp:docPr id="2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271260" cy="59309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2" w:right="856"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w:t>
      </w:r>
    </w:p>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2" w:right="85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w:t>
      </w:r>
    </w:p>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2" w:right="849"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 Al personale docente di ruolo che abbia frequentato, ai sensi dell'art. 2 della legge 13.8.1984, n. 476, i corsi di dottorato di ricerca e al personale docente di ruolo assegnatario di borse di studio o assegni di ricerca - a norma dell'art. 453 del decreto legislativo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s.i.m.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2"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Il servizio prestato nelle scuole paritarie non è valutabile in quanto non riconoscibile ai fini della ricostruzione di carriera.</w:t>
      </w:r>
    </w:p>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812"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E’ fatto salvo il riconoscimento del servizio prestato:</w:t>
      </w:r>
    </w:p>
    <w:p w:rsidR="00000000" w:rsidDel="00000000" w:rsidP="00000000" w:rsidRDefault="00000000" w:rsidRPr="00000000" w14:paraId="0000014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33"/>
        </w:tabs>
        <w:spacing w:after="0" w:before="0" w:line="240" w:lineRule="auto"/>
        <w:ind w:left="1533" w:right="854" w:hanging="36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fino al 31.8.2008 nelle scuole paritarie primarie che abbiano mantenuto lo status di parificate congiuntamente a quello di paritarie</w:t>
      </w:r>
    </w:p>
    <w:p w:rsidR="00000000" w:rsidDel="00000000" w:rsidP="00000000" w:rsidRDefault="00000000" w:rsidRPr="00000000" w14:paraId="0000014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31"/>
        </w:tabs>
        <w:spacing w:after="0" w:before="0" w:line="240" w:lineRule="auto"/>
        <w:ind w:left="1531" w:right="0" w:hanging="358"/>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nelle scuole paritarie dell’infanzia comunali</w:t>
      </w:r>
    </w:p>
    <w:p w:rsidR="00000000" w:rsidDel="00000000" w:rsidP="00000000" w:rsidRDefault="00000000" w:rsidRPr="00000000" w14:paraId="0000014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1533"/>
        </w:tabs>
        <w:spacing w:after="0" w:before="0" w:line="240" w:lineRule="auto"/>
        <w:ind w:left="1533" w:right="0" w:hanging="36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nelle scuole secondarie pareggiate (art. 360 del T.U.).</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0" w:line="217" w:lineRule="auto"/>
        <w:ind w:left="812"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N O T E</w:t>
      </w:r>
    </w:p>
    <w:p w:rsidR="00000000" w:rsidDel="00000000" w:rsidP="00000000" w:rsidRDefault="00000000" w:rsidRPr="00000000" w14:paraId="0000014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12"/>
        </w:tabs>
        <w:spacing w:after="0" w:before="0" w:line="217" w:lineRule="auto"/>
        <w:ind w:left="1112" w:right="0" w:hanging="30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Il ruolo di appartenenza va riferito rispettivamente: a) alla scuola dell’infanzia; b) alla scuola primaria; c) alla scuola</w:t>
      </w:r>
    </w:p>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17" w:lineRule="auto"/>
        <w:ind w:left="812"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secondaria di I grado; d) agli istituti di istruzione secondaria di II grado e artistica.</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2" w:right="854"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Va valutato nella misura prevista dalla presente voce il servizio prestato, a decorrere dall'anno scolastico 1978/79, dalle assistenti di scuola materna statale utilizzate, ai sensi dell'articolo 8 della legge n. 463/78, come insegnanti di scuola materna.</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2" w:right="854"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w:t>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12" w:right="852"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w:t>
      </w:r>
    </w:p>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2" w:right="85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Relativamente ai docenti delle scuole primarie, per ogni anno di insegnamento nella scuola di montagna ai sensi della legge 1/3/1957, n. 90, il punteggio è raddoppiato. Per l'attribuzione del punteggio si prescinde dal requisito della residenza in sede. Per ogni anno di servizio prestato nei paesi in via di sviluppo il punteggio è raddoppiato.</w:t>
      </w:r>
    </w:p>
    <w:p w:rsidR="00000000" w:rsidDel="00000000" w:rsidP="00000000" w:rsidRDefault="00000000" w:rsidRPr="00000000" w14:paraId="0000015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12"/>
        </w:tabs>
        <w:spacing w:after="0" w:before="0" w:line="240" w:lineRule="auto"/>
        <w:ind w:left="812" w:right="853"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000000" w:rsidDel="00000000" w:rsidP="00000000" w:rsidRDefault="00000000" w:rsidRPr="00000000" w14:paraId="0000015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98"/>
        </w:tabs>
        <w:spacing w:after="0" w:before="0" w:line="240" w:lineRule="auto"/>
        <w:ind w:left="812" w:right="852"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w:t>
      </w:r>
    </w:p>
    <w:p w:rsidR="00000000" w:rsidDel="00000000" w:rsidP="00000000" w:rsidRDefault="00000000" w:rsidRPr="00000000" w14:paraId="0000015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96"/>
        </w:tabs>
        <w:spacing w:after="0" w:before="0" w:line="240" w:lineRule="auto"/>
        <w:ind w:left="812" w:right="848" w:firstLine="0"/>
        <w:jc w:val="both"/>
        <w:rPr>
          <w:rFonts w:ascii="Tahoma" w:cs="Tahoma" w:eastAsia="Tahoma" w:hAnsi="Tahoma"/>
          <w:b w:val="0"/>
          <w:i w:val="0"/>
          <w:smallCaps w:val="0"/>
          <w:strike w:val="0"/>
          <w:color w:val="000000"/>
          <w:sz w:val="18"/>
          <w:szCs w:val="18"/>
          <w:u w:val="none"/>
          <w:shd w:fill="auto" w:val="clear"/>
          <w:vertAlign w:val="baseline"/>
        </w:rPr>
        <w:sectPr>
          <w:type w:val="nextPage"/>
          <w:pgSz w:h="16840" w:w="11910" w:orient="portrait"/>
          <w:pgMar w:bottom="1140" w:top="1400" w:left="320" w:right="280" w:header="0" w:footer="946"/>
        </w:sect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pre-ruolo e un precedente servizio di altro ruolo è valutato 6 punti per ogni anno per tutti gli anni. Il servizio pre-ruolo ai fini della compilazione delle graduatorie interne per l’individuazione del perdente posto continua ad essere valutato 3 punti per i primi quattro anni e 2 per i successivi. Nella mobilità d’ufficio in merito alla valutazione di un precedente servizio di ruolo, prestato in un ruolo diverso, si precisa che</w:t>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812" w:right="849"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gli anni di servizio di ruolo prestati nella scuola dell’infanzia si valutano per intero (3 punti per ogni anno per tutti gli anni) ai sensi della presente voce, nella scuola primaria (e viceversa), mentre si sommano al pre-ruolo e si valutano come pre- 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pre-ruolo e si valutano come pre-ruolo (3 punti per i primi quattro anni e 2 per i successivi) se attualmente si è titolari nella scuola primaria o nella scuola dell’infanzia. Nella misura della presente voce è valutato anche il servizio pre-ruolo prestato per almeno 180 giorni o ininterrottamente dal 1 febbraio fino al termine delle operazioni di scrutinio finale o, in quanto riconoscibile, per la scuola materna, fino al termine delle attività educative, nei limiti previsti dagli artt. 485, 490 del decreto legislativo n. 297/94 ai fini della valutabilità per la carriera, nonché il servizio prestato in altro ruolo riconosciuto o riconoscibile ai fini della carriera ai sensi del decreto-legge 19/6/70 n. 370, convertito con modificazioni nella legge 26/7/70 n. 576 e successive integrazioni, ovvero il servizio pre-ruolo prestato senza il prescritto titolo di specializzazione in scuole speciali o su posti di sostegno. Per ogni anno di insegnamento 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w:t>
      </w:r>
    </w:p>
    <w:p w:rsidR="00000000" w:rsidDel="00000000" w:rsidP="00000000" w:rsidRDefault="00000000" w:rsidRPr="00000000" w14:paraId="0000015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098"/>
        </w:tabs>
        <w:spacing w:after="0" w:before="0" w:line="240" w:lineRule="auto"/>
        <w:ind w:left="812" w:right="848"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dall’a.s. 2009/2010. L’introduzione nell’a.s. 1998/99 dell’organico di circolo, per la scuola primaria, e nell’a.s.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 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pre-ruolo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comma 1, punto II),</w:t>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812" w:right="849" w:firstLine="0"/>
        <w:jc w:val="both"/>
        <w:rPr>
          <w:rFonts w:ascii="Tahoma" w:cs="Tahoma" w:eastAsia="Tahoma" w:hAnsi="Tahoma"/>
          <w:b w:val="0"/>
          <w:i w:val="0"/>
          <w:smallCaps w:val="0"/>
          <w:strike w:val="0"/>
          <w:color w:val="000000"/>
          <w:sz w:val="18"/>
          <w:szCs w:val="18"/>
          <w:u w:val="none"/>
          <w:shd w:fill="auto" w:val="clear"/>
          <w:vertAlign w:val="baseline"/>
        </w:rPr>
        <w:sectPr>
          <w:type w:val="nextPage"/>
          <w:pgSz w:h="16840" w:w="11910" w:orient="portrait"/>
          <w:pgMar w:bottom="1140" w:top="1320" w:left="320" w:right="280" w:header="0" w:footer="946"/>
        </w:sect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Personale trasferito d’ufficio nell’ultimo ottennio -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decreto legislativo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decreto-legge 28/8/2000, n. 240, convertito con modificazioni nella legge 27/10/2000, n. 306, per il servizio prestato nelle scuole militari nonché per il periodo di servizio prestato nei progetti previsti dall’art 1 comma 65 della legge 107/15 e successive modifiche ed integrazioni.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42 comma 5 del decreto legislativo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w:t>
      </w:r>
    </w:p>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812" w:right="849"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decreto legislativo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w:t>
      </w: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decreto- legge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6.8.1988, n. 323 convertito con modificazioni nella legge 6.10.1988, n. 426. Il punteggio in questione spetta anche ai docenti appartenenti a posto o classe di concorso in esubero utilizzati a domanda o d'ufficio ai sensi dell'art. 1 del decreto legislativo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 In quest’ultimo caso l’aver ottenuto assegnazione provvisoria interprovinciale determina comunque la perdita del punteggio di continuità a partire dalla mobilità del 2020/2021, mentre continua a permanere il diritto di rientro.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812" w:right="853"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(5 bis)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2"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mc:AlternateContent>
          <mc:Choice Requires="wpg">
            <w:drawing>
              <wp:inline distB="0" distT="0" distL="0" distR="0">
                <wp:extent cx="5727065" cy="708660"/>
                <wp:effectExtent b="0" l="0" r="0" t="0"/>
                <wp:docPr id="22" name=""/>
                <a:graphic>
                  <a:graphicData uri="http://schemas.microsoft.com/office/word/2010/wordprocessingGroup">
                    <wpg:wgp>
                      <wpg:cNvGrpSpPr/>
                      <wpg:grpSpPr>
                        <a:xfrm>
                          <a:off x="2482275" y="3425475"/>
                          <a:ext cx="5727065" cy="708660"/>
                          <a:chOff x="2482275" y="3425475"/>
                          <a:chExt cx="5727325" cy="857750"/>
                        </a:xfrm>
                      </wpg:grpSpPr>
                      <wpg:grpSp>
                        <wpg:cNvGrpSpPr/>
                        <wpg:grpSpPr>
                          <a:xfrm>
                            <a:off x="2482468" y="3425670"/>
                            <a:ext cx="5727050" cy="708650"/>
                            <a:chOff x="0" y="0"/>
                            <a:chExt cx="5727050" cy="708650"/>
                          </a:xfrm>
                        </wpg:grpSpPr>
                        <wps:wsp>
                          <wps:cNvSpPr/>
                          <wps:cNvPr id="4" name="Shape 4"/>
                          <wps:spPr>
                            <a:xfrm>
                              <a:off x="0" y="0"/>
                              <a:ext cx="5727050" cy="708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a:off x="4821301" y="4572"/>
                              <a:ext cx="901065" cy="69977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ahoma" w:cs="Tahoma" w:eastAsia="Tahoma" w:hAnsi="Tahoma"/>
                                    <w:b w:val="0"/>
                                    <w:i w:val="0"/>
                                    <w:smallCaps w:val="0"/>
                                    <w:strike w:val="0"/>
                                    <w:color w:val="000000"/>
                                    <w:sz w:val="18"/>
                                    <w:vertAlign w:val="baseline"/>
                                  </w:rPr>
                                </w:r>
                              </w:p>
                              <w:p w:rsidR="00000000" w:rsidDel="00000000" w:rsidP="00000000" w:rsidRDefault="00000000" w:rsidRPr="00000000">
                                <w:pPr>
                                  <w:spacing w:after="0" w:before="1.0000000149011612" w:line="240"/>
                                  <w:ind w:left="630.9999847412109" w:right="0" w:firstLine="630.9999847412109"/>
                                  <w:jc w:val="left"/>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0"/>
                                    <w:smallCaps w:val="0"/>
                                    <w:strike w:val="0"/>
                                    <w:color w:val="000000"/>
                                    <w:sz w:val="18"/>
                                    <w:vertAlign w:val="baseline"/>
                                  </w:rPr>
                                  <w:t xml:space="preserve">Punti 2</w:t>
                                </w:r>
                              </w:p>
                              <w:p w:rsidR="00000000" w:rsidDel="00000000" w:rsidP="00000000" w:rsidRDefault="00000000" w:rsidRPr="00000000">
                                <w:pPr>
                                  <w:spacing w:after="0" w:before="1.0000000149011612" w:line="215.9999942779541"/>
                                  <w:ind w:left="630.9999847412109" w:right="0" w:firstLine="630.9999847412109"/>
                                  <w:jc w:val="left"/>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0"/>
                                    <w:smallCaps w:val="0"/>
                                    <w:strike w:val="0"/>
                                    <w:color w:val="000000"/>
                                    <w:sz w:val="18"/>
                                    <w:vertAlign w:val="baseline"/>
                                  </w:rPr>
                                  <w:t xml:space="preserve">Punti 3</w:t>
                                </w:r>
                              </w:p>
                            </w:txbxContent>
                          </wps:txbx>
                          <wps:bodyPr anchorCtr="0" anchor="t" bIns="0" lIns="0" spcFirstLastPara="1" rIns="0" wrap="square" tIns="0">
                            <a:noAutofit/>
                          </wps:bodyPr>
                        </wps:wsp>
                        <wps:wsp>
                          <wps:cNvSpPr/>
                          <wps:cNvPr id="8" name="Shape 8"/>
                          <wps:spPr>
                            <a:xfrm>
                              <a:off x="4572" y="4572"/>
                              <a:ext cx="4817110" cy="69977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2.0000000298023224" w:line="240"/>
                                  <w:ind w:left="830.9999847412109" w:right="64.00000095367432" w:firstLine="630.9999847412109"/>
                                  <w:jc w:val="both"/>
                                  <w:textDirection w:val="btLr"/>
                                </w:pPr>
                                <w:r w:rsidDel="00000000" w:rsidR="00000000" w:rsidRPr="00000000">
                                  <w:rPr>
                                    <w:rFonts w:ascii="Tahoma" w:cs="Tahoma" w:eastAsia="Tahoma" w:hAnsi="Tahoma"/>
                                    <w:b w:val="0"/>
                                    <w:i w:val="0"/>
                                    <w:smallCaps w:val="0"/>
                                    <w:strike w:val="0"/>
                                    <w:color w:val="000000"/>
                                    <w:sz w:val="18"/>
                                    <w:vertAlign w:val="baseline"/>
                                  </w:rPr>
                                  <w:t xml:space="preserve">Per ogni anno di servizio di ruolo prestato nella scuola di attuale titolarità o di incarico triennale senza soluzione di continuità in aggiunta a quello previsto dalle lettere A), A1), B), B1), B2)</w:t>
                                </w:r>
                              </w:p>
                              <w:p w:rsidR="00000000" w:rsidDel="00000000" w:rsidP="00000000" w:rsidRDefault="00000000" w:rsidRPr="00000000">
                                <w:pPr>
                                  <w:spacing w:after="0" w:before="0" w:line="215.9999942779541"/>
                                  <w:ind w:left="830.9999847412109" w:right="0" w:firstLine="630.9999847412109"/>
                                  <w:jc w:val="both"/>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0"/>
                                    <w:smallCaps w:val="0"/>
                                    <w:strike w:val="0"/>
                                    <w:color w:val="000000"/>
                                    <w:sz w:val="18"/>
                                    <w:vertAlign w:val="baseline"/>
                                  </w:rPr>
                                  <w:t xml:space="preserve">entro il quinquennio.................................................................……………</w:t>
                                </w:r>
                              </w:p>
                              <w:p w:rsidR="00000000" w:rsidDel="00000000" w:rsidP="00000000" w:rsidRDefault="00000000" w:rsidRPr="00000000">
                                <w:pPr>
                                  <w:spacing w:after="0" w:before="1.0000000149011612" w:line="215.9999942779541"/>
                                  <w:ind w:left="830.9999847412109" w:right="0" w:firstLine="630.9999847412109"/>
                                  <w:jc w:val="both"/>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0"/>
                                    <w:smallCaps w:val="0"/>
                                    <w:strike w:val="0"/>
                                    <w:color w:val="000000"/>
                                    <w:sz w:val="18"/>
                                    <w:vertAlign w:val="baseline"/>
                                  </w:rPr>
                                  <w:t xml:space="preserve">oltre il quinquennio ……………………………………………………....</w:t>
                                </w:r>
                              </w:p>
                            </w:txbxContent>
                          </wps:txbx>
                          <wps:bodyPr anchorCtr="0" anchor="t" bIns="0" lIns="0" spcFirstLastPara="1" rIns="0" wrap="square" tIns="0">
                            <a:noAutofit/>
                          </wps:bodyPr>
                        </wps:wsp>
                      </wpg:grpSp>
                    </wpg:wgp>
                  </a:graphicData>
                </a:graphic>
              </wp:inline>
            </w:drawing>
          </mc:Choice>
          <mc:Fallback>
            <w:drawing>
              <wp:inline distB="0" distT="0" distL="0" distR="0">
                <wp:extent cx="5727065" cy="708660"/>
                <wp:effectExtent b="0" l="0" r="0" t="0"/>
                <wp:docPr id="2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5727065" cy="70866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2" w:right="255"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Sempre ai fini della formazione della graduatoria per l’individuazione del soprannumerario ed ai fini del trasferimento d’ufficio, viene valutata anche la continuità di servizio nel comune di attuale titolarità, nella seguente misura:</w:t>
      </w:r>
    </w:p>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2"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Pr>
        <mc:AlternateContent>
          <mc:Choice Requires="wpg">
            <w:drawing>
              <wp:inline distB="0" distT="0" distL="0" distR="0">
                <wp:extent cx="5727065" cy="433070"/>
                <wp:effectExtent b="0" l="0" r="0" t="0"/>
                <wp:docPr id="24" name=""/>
                <a:graphic>
                  <a:graphicData uri="http://schemas.microsoft.com/office/word/2010/wordprocessingGroup">
                    <wpg:wgp>
                      <wpg:cNvGrpSpPr/>
                      <wpg:grpSpPr>
                        <a:xfrm>
                          <a:off x="2482275" y="3563250"/>
                          <a:ext cx="5727065" cy="433070"/>
                          <a:chOff x="2482275" y="3563250"/>
                          <a:chExt cx="5727325" cy="433750"/>
                        </a:xfrm>
                      </wpg:grpSpPr>
                      <wpg:grpSp>
                        <wpg:cNvGrpSpPr/>
                        <wpg:grpSpPr>
                          <a:xfrm>
                            <a:off x="2482468" y="3563465"/>
                            <a:ext cx="5727050" cy="433050"/>
                            <a:chOff x="0" y="0"/>
                            <a:chExt cx="5727050" cy="433050"/>
                          </a:xfrm>
                        </wpg:grpSpPr>
                        <wps:wsp>
                          <wps:cNvSpPr/>
                          <wps:cNvPr id="4" name="Shape 4"/>
                          <wps:spPr>
                            <a:xfrm>
                              <a:off x="0" y="0"/>
                              <a:ext cx="5727050" cy="433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4821301" y="4572"/>
                              <a:ext cx="901065" cy="42418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2.0000000298023224" w:line="240"/>
                                  <w:ind w:left="0" w:right="0" w:firstLine="0"/>
                                  <w:jc w:val="left"/>
                                  <w:textDirection w:val="btLr"/>
                                </w:pPr>
                                <w:r w:rsidDel="00000000" w:rsidR="00000000" w:rsidRPr="00000000">
                                  <w:rPr>
                                    <w:rFonts w:ascii="Tahoma" w:cs="Tahoma" w:eastAsia="Tahoma" w:hAnsi="Tahoma"/>
                                    <w:b w:val="0"/>
                                    <w:i w:val="0"/>
                                    <w:smallCaps w:val="0"/>
                                    <w:strike w:val="0"/>
                                    <w:color w:val="000000"/>
                                    <w:sz w:val="18"/>
                                    <w:vertAlign w:val="baseline"/>
                                  </w:rPr>
                                </w:r>
                              </w:p>
                              <w:p w:rsidR="00000000" w:rsidDel="00000000" w:rsidP="00000000" w:rsidRDefault="00000000" w:rsidRPr="00000000">
                                <w:pPr>
                                  <w:spacing w:after="0" w:before="0" w:line="215.9999942779541"/>
                                  <w:ind w:left="630.9999847412109" w:right="0" w:firstLine="630.9999847412109"/>
                                  <w:jc w:val="left"/>
                                  <w:textDirection w:val="btLr"/>
                                </w:pPr>
                                <w:r w:rsidDel="00000000" w:rsidR="00000000" w:rsidRPr="00000000">
                                  <w:rPr>
                                    <w:rFonts w:ascii="Tahoma" w:cs="Tahoma" w:eastAsia="Tahoma" w:hAnsi="Tahoma"/>
                                    <w:b w:val="0"/>
                                    <w:i w:val="0"/>
                                    <w:smallCaps w:val="0"/>
                                    <w:strike w:val="0"/>
                                    <w:color w:val="000000"/>
                                    <w:sz w:val="18"/>
                                    <w:vertAlign w:val="baseline"/>
                                  </w:rPr>
                                </w:r>
                                <w:r w:rsidDel="00000000" w:rsidR="00000000" w:rsidRPr="00000000">
                                  <w:rPr>
                                    <w:rFonts w:ascii="Tahoma" w:cs="Tahoma" w:eastAsia="Tahoma" w:hAnsi="Tahoma"/>
                                    <w:b w:val="0"/>
                                    <w:i w:val="0"/>
                                    <w:smallCaps w:val="0"/>
                                    <w:strike w:val="0"/>
                                    <w:color w:val="000000"/>
                                    <w:sz w:val="18"/>
                                    <w:vertAlign w:val="baseline"/>
                                  </w:rPr>
                                  <w:t xml:space="preserve">Punti 1</w:t>
                                </w:r>
                              </w:p>
                            </w:txbxContent>
                          </wps:txbx>
                          <wps:bodyPr anchorCtr="0" anchor="t" bIns="0" lIns="0" spcFirstLastPara="1" rIns="0" wrap="square" tIns="0">
                            <a:noAutofit/>
                          </wps:bodyPr>
                        </wps:wsp>
                        <wps:wsp>
                          <wps:cNvSpPr/>
                          <wps:cNvPr id="22" name="Shape 22"/>
                          <wps:spPr>
                            <a:xfrm>
                              <a:off x="4572" y="4572"/>
                              <a:ext cx="4817110" cy="424180"/>
                            </a:xfrm>
                            <a:prstGeom prst="rect">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1.0000000149011612" w:line="240"/>
                                  <w:ind w:left="630.9999847412109" w:right="68.00000190734863" w:firstLine="630.9999847412109"/>
                                  <w:jc w:val="both"/>
                                  <w:textDirection w:val="btLr"/>
                                </w:pPr>
                                <w:r w:rsidDel="00000000" w:rsidR="00000000" w:rsidRPr="00000000">
                                  <w:rPr>
                                    <w:rFonts w:ascii="Tahoma" w:cs="Tahoma" w:eastAsia="Tahoma" w:hAnsi="Tahoma"/>
                                    <w:b w:val="0"/>
                                    <w:i w:val="0"/>
                                    <w:smallCaps w:val="0"/>
                                    <w:strike w:val="0"/>
                                    <w:color w:val="000000"/>
                                    <w:sz w:val="18"/>
                                    <w:vertAlign w:val="baseline"/>
                                  </w:rPr>
                                  <w:t xml:space="preserve">C 0) Per ogni anno di servizio di ruolo prestato nel comune di attuale titolarità o di incarico triennale senza soluzione di continuità in aggiunta a quello previsto dalle lettere A), A1), B), B1), B2) ………………………………………………………..</w:t>
                                </w:r>
                              </w:p>
                            </w:txbxContent>
                          </wps:txbx>
                          <wps:bodyPr anchorCtr="0" anchor="t" bIns="0" lIns="0" spcFirstLastPara="1" rIns="0" wrap="square" tIns="0">
                            <a:noAutofit/>
                          </wps:bodyPr>
                        </wps:wsp>
                      </wpg:grpSp>
                    </wpg:wgp>
                  </a:graphicData>
                </a:graphic>
              </wp:inline>
            </w:drawing>
          </mc:Choice>
          <mc:Fallback>
            <w:drawing>
              <wp:inline distB="0" distT="0" distL="0" distR="0">
                <wp:extent cx="5727065" cy="433070"/>
                <wp:effectExtent b="0" l="0" r="0" t="0"/>
                <wp:docPr id="24"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5727065" cy="43307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2" w:right="849"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2" w:right="860" w:firstLine="0"/>
        <w:jc w:val="both"/>
        <w:rPr>
          <w:rFonts w:ascii="Tahoma" w:cs="Tahoma" w:eastAsia="Tahoma" w:hAnsi="Tahoma"/>
          <w:b w:val="0"/>
          <w:i w:val="0"/>
          <w:smallCaps w:val="0"/>
          <w:strike w:val="0"/>
          <w:color w:val="000000"/>
          <w:sz w:val="18"/>
          <w:szCs w:val="18"/>
          <w:u w:val="none"/>
          <w:shd w:fill="auto" w:val="clear"/>
          <w:vertAlign w:val="baseline"/>
        </w:rPr>
        <w:sectPr>
          <w:type w:val="nextPage"/>
          <w:pgSz w:h="16840" w:w="11910" w:orient="portrait"/>
          <w:pgMar w:bottom="1140" w:top="1320" w:left="320" w:right="280" w:header="0" w:footer="946"/>
        </w:sect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(5 ter)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w:t>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812" w:right="852"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000000" w:rsidDel="00000000" w:rsidP="00000000" w:rsidRDefault="00000000" w:rsidRPr="00000000" w14:paraId="0000015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712"/>
        </w:tabs>
        <w:spacing w:after="0" w:before="2" w:line="227" w:lineRule="auto"/>
        <w:ind w:left="1712" w:right="0" w:hanging="359.00000000000006"/>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domanda condizionata di trasferimento, in quanto individuati soprannumerari;</w:t>
      </w:r>
    </w:p>
    <w:p w:rsidR="00000000" w:rsidDel="00000000" w:rsidP="00000000" w:rsidRDefault="00000000" w:rsidRPr="00000000" w14:paraId="00000160">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712"/>
        </w:tabs>
        <w:spacing w:after="0" w:before="0" w:line="225" w:lineRule="auto"/>
        <w:ind w:left="1712" w:right="0" w:hanging="359.00000000000006"/>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domanda di trasferimento per la scuola primaria tra i posti comune e lingua straniera nell’organico dello stesso</w:t>
      </w:r>
    </w:p>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5" w:lineRule="auto"/>
        <w:ind w:left="1713"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circolo di titolarità;</w:t>
      </w:r>
    </w:p>
    <w:p w:rsidR="00000000" w:rsidDel="00000000" w:rsidP="00000000" w:rsidRDefault="00000000" w:rsidRPr="00000000" w14:paraId="00000162">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tabs>
          <w:tab w:val="left" w:leader="none" w:pos="1712"/>
        </w:tabs>
        <w:spacing w:after="0" w:before="0" w:line="227" w:lineRule="auto"/>
        <w:ind w:left="1712" w:right="0" w:hanging="359.00000000000006"/>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domanda di rientro nella scuola di precedente titolarità, nell’ ottennio di fruizione del diritto alla precedenza di</w:t>
      </w:r>
    </w:p>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4" w:lineRule="auto"/>
        <w:ind w:left="1713"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cui ai punti II e V dell’art. 13, comma 1 del CCNI.</w:t>
      </w:r>
    </w:p>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812" w:right="853"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 Tale punteggio non è attribuibile ai docenti ex DOS negli anni interessati.</w:t>
      </w:r>
    </w:p>
    <w:p w:rsidR="00000000" w:rsidDel="00000000" w:rsidP="00000000" w:rsidRDefault="00000000" w:rsidRPr="00000000" w14:paraId="0000016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51"/>
        </w:tabs>
        <w:spacing w:after="0" w:before="0" w:line="240" w:lineRule="auto"/>
        <w:ind w:left="812" w:right="848"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Il punteggio spetta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viciniorietà,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w:t>
      </w:r>
    </w:p>
    <w:p w:rsidR="00000000" w:rsidDel="00000000" w:rsidP="00000000" w:rsidRDefault="00000000" w:rsidRPr="00000000" w14:paraId="0000016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270"/>
        </w:tabs>
        <w:spacing w:after="0" w:before="0" w:line="240" w:lineRule="auto"/>
        <w:ind w:left="812" w:right="852" w:firstLine="55"/>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2" w:right="853"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lettera A)</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w:t>
      </w:r>
    </w:p>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12"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lettera B) e lettera C)</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valgono sempre;</w:t>
      </w:r>
    </w:p>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812" w:right="858"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single"/>
          <w:shd w:fill="auto" w:val="clear"/>
          <w:vertAlign w:val="baseline"/>
          <w:rtl w:val="0"/>
        </w:rPr>
        <w:t xml:space="preserve">lettera D)</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(cura e assistenza dei figli disabili, etc..) vale quando il comune in cui può essere prestata l’assistenza coincide con il comune di titolarità del docente oppure è ad esso viciniore, qualora nel comune medesimo non vi siano sedi scolastiche richiedibili.</w:t>
      </w:r>
    </w:p>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 w:lineRule="auto"/>
        <w:ind w:left="812"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Il punteggio così calcolato viene utilizzato anche nelle operazioni di trasferimento d’ufficio del soprannumerario.</w:t>
      </w:r>
    </w:p>
    <w:p w:rsidR="00000000" w:rsidDel="00000000" w:rsidP="00000000" w:rsidRDefault="00000000" w:rsidRPr="00000000" w14:paraId="0000016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01"/>
        </w:tabs>
        <w:spacing w:after="0" w:before="1" w:line="217" w:lineRule="auto"/>
        <w:ind w:left="1101" w:right="0" w:hanging="289.00000000000006"/>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Il punteggio va attribuito anche per i figli che compiono i sei anni o i diciotto tra il 1 gennaio e il 31 dicembre dell’anno</w:t>
      </w:r>
    </w:p>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812"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in cui si effettua il trasferimento.</w:t>
      </w:r>
    </w:p>
    <w:p w:rsidR="00000000" w:rsidDel="00000000" w:rsidP="00000000" w:rsidRDefault="00000000" w:rsidRPr="00000000" w14:paraId="0000016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03"/>
        </w:tabs>
        <w:spacing w:after="0" w:before="1" w:line="217" w:lineRule="auto"/>
        <w:ind w:left="1103" w:right="0" w:hanging="291.0000000000001"/>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La valutazione è attribuita nei seguenti casi:</w:t>
      </w:r>
    </w:p>
    <w:p w:rsidR="00000000" w:rsidDel="00000000" w:rsidP="00000000" w:rsidRDefault="00000000" w:rsidRPr="00000000" w14:paraId="000001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029"/>
        </w:tabs>
        <w:spacing w:after="0" w:before="0" w:line="217" w:lineRule="auto"/>
        <w:ind w:left="1029" w:right="0" w:hanging="217.00000000000003"/>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figlio disabile, ovvero coniuge o parte dell’unione civile o genitore, ricoverati permanentemente in un istituto di cura;</w:t>
      </w:r>
    </w:p>
    <w:p w:rsidR="00000000" w:rsidDel="00000000" w:rsidP="00000000" w:rsidRDefault="00000000" w:rsidRPr="00000000" w14:paraId="0000016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042"/>
        </w:tabs>
        <w:spacing w:after="0" w:before="2" w:line="217" w:lineRule="auto"/>
        <w:ind w:left="1042" w:right="0" w:hanging="23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figlio disabile, ovvero coniuge o parte dell’unione civile o genitore bisognosi di cure continuative presso un istituto di</w:t>
      </w:r>
    </w:p>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812" w:right="0" w:firstLine="0"/>
        <w:jc w:val="left"/>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cura tali da comportare di necessità la residenza nella sede dello istituto medesimo.</w:t>
      </w:r>
    </w:p>
    <w:p w:rsidR="00000000" w:rsidDel="00000000" w:rsidP="00000000" w:rsidRDefault="00000000" w:rsidRPr="00000000" w14:paraId="0000017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leader="none" w:pos="1043"/>
        </w:tabs>
        <w:spacing w:after="0" w:before="1" w:line="240" w:lineRule="auto"/>
        <w:ind w:left="812" w:right="851"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000000" w:rsidDel="00000000" w:rsidP="00000000" w:rsidRDefault="00000000" w:rsidRPr="00000000" w14:paraId="0000017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206"/>
        </w:tabs>
        <w:spacing w:after="0" w:before="0" w:line="216" w:lineRule="auto"/>
        <w:ind w:left="1206" w:right="0" w:hanging="394.00000000000006"/>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Si precisa che ai sensi della lettera B) si valuta un solo pubblico concorso. E’ equiparata all'inclusione in graduatoria</w:t>
      </w:r>
    </w:p>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812" w:right="0" w:firstLine="0"/>
        <w:jc w:val="both"/>
        <w:rPr>
          <w:rFonts w:ascii="Tahoma" w:cs="Tahoma" w:eastAsia="Tahoma" w:hAnsi="Tahoma"/>
          <w:b w:val="0"/>
          <w:i w:val="0"/>
          <w:smallCaps w:val="0"/>
          <w:strike w:val="0"/>
          <w:color w:val="000000"/>
          <w:sz w:val="18"/>
          <w:szCs w:val="18"/>
          <w:u w:val="none"/>
          <w:shd w:fill="auto" w:val="clear"/>
          <w:vertAlign w:val="baseline"/>
        </w:rPr>
        <w:sectPr>
          <w:type w:val="nextPage"/>
          <w:pgSz w:h="16840" w:w="11910" w:orient="portrait"/>
          <w:pgMar w:bottom="1140" w:top="1320" w:left="320" w:right="280" w:header="0" w:footer="946"/>
        </w:sect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di merito l'inclusione in terne di concorsi a cattedre negli istituti di istruzione artistica. Si precisa che i concorsi ordinari a</w:t>
      </w:r>
    </w:p>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0" w:line="240" w:lineRule="auto"/>
        <w:ind w:left="812" w:right="85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 A norma dell'art. 16, ultimo comma, del decreto-legge 30.1.76, n. 13, convertito con modificazioni nella l. 30/3/76, n. 88 il concorso a cattedre di educazione fisica, indetto con il decreto ministeriale 5/5/73 - i cui atti sono stati approvati con decreto ministeriale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sono altresì esclusi i concorsi indetti ai sensi del D.D.G. 85 del 2018 e decreto ministeriale 631 del 2018. Ai sensi dell’art. 5 del decreto ministeriale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000000" w:rsidDel="00000000" w:rsidP="00000000" w:rsidRDefault="00000000" w:rsidRPr="00000000" w14:paraId="0000017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96"/>
        </w:tabs>
        <w:spacing w:after="0" w:before="1" w:line="240" w:lineRule="auto"/>
        <w:ind w:left="812" w:right="852"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 w:line="240" w:lineRule="auto"/>
        <w:ind w:left="812" w:right="848"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(11 bis) Si ricorda che a norma dell'art. 10 del decreto-legge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artt. 4, 6 e 8. Analogamente non si valutano i titoli rilasciati dalle Scuole di Specializzazione per l’insegnamento nella scuola secondaria (SSIS). Detti titoli non possono essere, infatti, considerati titoli generali aggiuntivi in quanto validi sia per l’accesso ai ruoli sia per il passaggio.</w:t>
      </w:r>
    </w:p>
    <w:p w:rsidR="00000000" w:rsidDel="00000000" w:rsidP="00000000" w:rsidRDefault="00000000" w:rsidRPr="00000000" w14:paraId="000001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244"/>
        </w:tabs>
        <w:spacing w:after="0" w:before="0" w:line="240" w:lineRule="auto"/>
        <w:ind w:left="812" w:right="849"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Il diploma di laurea in Didattica della musica non si valuta:</w:t>
      </w:r>
    </w:p>
    <w:p w:rsidR="00000000" w:rsidDel="00000000" w:rsidP="00000000" w:rsidRDefault="00000000" w:rsidRPr="00000000" w14:paraId="00000178">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931"/>
        </w:tabs>
        <w:spacing w:after="0" w:before="0" w:line="217" w:lineRule="auto"/>
        <w:ind w:left="931" w:right="0" w:hanging="119.00000000000006"/>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ai docenti titolari delle classi di concorso A29 e A30 in quanto titolo richiesto per l’accesso al ruolo di appartenenza;</w:t>
      </w:r>
    </w:p>
    <w:p w:rsidR="00000000" w:rsidDel="00000000" w:rsidP="00000000" w:rsidRDefault="00000000" w:rsidRPr="00000000" w14:paraId="00000179">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leader="none" w:pos="936"/>
        </w:tabs>
        <w:spacing w:after="0" w:before="0" w:line="240" w:lineRule="auto"/>
        <w:ind w:left="812" w:right="856"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ai docenti titolari della classe di concorso A56 qualora riconosciuto come titolo valido ope legis ai fini dell’accesso a tale classe di concorso (art. 1, comma 2 bis del decreto-legge 3 luglio 2001, n. 255, convertito con modificazioni dalla L. n. 333/2001; art. 2, comma 4 bis del decreto-legge n. 97/2004, convertito con modificazioni dalla L. n. 143/2004; art. 1, comma 605 L. n. 296/2006).</w:t>
      </w:r>
    </w:p>
    <w:p w:rsidR="00000000" w:rsidDel="00000000" w:rsidP="00000000" w:rsidRDefault="00000000" w:rsidRPr="00000000" w14:paraId="0000017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201"/>
        </w:tabs>
        <w:spacing w:after="0" w:before="0" w:line="217" w:lineRule="auto"/>
        <w:ind w:left="1201" w:right="0" w:hanging="389.00000000000006"/>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Il punteggio può essere attribuito anche al personale diplomato.</w:t>
      </w:r>
    </w:p>
    <w:p w:rsidR="00000000" w:rsidDel="00000000" w:rsidP="00000000" w:rsidRDefault="00000000" w:rsidRPr="00000000" w14:paraId="000001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211"/>
        </w:tabs>
        <w:spacing w:after="0" w:before="0" w:line="240" w:lineRule="auto"/>
        <w:ind w:left="812" w:right="856"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 corsi tenuti a decorrere dall’anno accademico 2005/06 saranno valutati esclusivamente se di durata annuale, con 1500 ore complessive di impegno, con un riconoscimento di 60 CFU e con esame finale.</w:t>
      </w:r>
    </w:p>
    <w:p w:rsidR="00000000" w:rsidDel="00000000" w:rsidP="00000000" w:rsidRDefault="00000000" w:rsidRPr="00000000" w14:paraId="0000017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194"/>
        </w:tabs>
        <w:spacing w:after="0" w:before="1" w:line="240" w:lineRule="auto"/>
        <w:ind w:left="812" w:right="851"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Limitatamente alla mobilità nell’ambito dell’insegnamento della religione cattolica sono considerati validi i titoli previsti dal D.P.R. 751/85 e specificati dal decreto ministeriale 15.7.87 nonché dal D.P.R. 175/2012 e specificati dal decreto ministeriale 70 del 25.7.2020.</w:t>
      </w:r>
    </w:p>
    <w:p w:rsidR="00000000" w:rsidDel="00000000" w:rsidP="00000000" w:rsidRDefault="00000000" w:rsidRPr="00000000" w14:paraId="0000017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201"/>
        </w:tabs>
        <w:spacing w:after="0" w:before="0" w:line="216" w:lineRule="auto"/>
        <w:ind w:left="1201" w:right="0" w:hanging="389.00000000000006"/>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Il punteggio viene attribuito per il conseguimento di un solo titolo linguistico.</w:t>
      </w:r>
    </w:p>
    <w:p w:rsidR="00000000" w:rsidDel="00000000" w:rsidP="00000000" w:rsidRDefault="00000000" w:rsidRPr="00000000" w14:paraId="0000017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1226"/>
        </w:tabs>
        <w:spacing w:after="0" w:before="1" w:line="217" w:lineRule="auto"/>
        <w:ind w:left="1226" w:right="0" w:hanging="414.00000000000006"/>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"Sono considerati validi i titoli conseguiti all'estero che hanno ottenuto dagli organi competenti il riconoscimento</w:t>
      </w:r>
    </w:p>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7" w:lineRule="auto"/>
        <w:ind w:left="812" w:right="0" w:firstLine="0"/>
        <w:jc w:val="both"/>
        <w:rPr>
          <w:rFonts w:ascii="Tahoma" w:cs="Tahoma" w:eastAsia="Tahoma" w:hAnsi="Tahoma"/>
          <w:b w:val="0"/>
          <w:i w:val="0"/>
          <w:smallCaps w:val="0"/>
          <w:strike w:val="0"/>
          <w:color w:val="000000"/>
          <w:sz w:val="18"/>
          <w:szCs w:val="18"/>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accademico o il riconoscimento finalizzato, ai sensi della normativa vigente”.</w:t>
      </w:r>
    </w:p>
    <w:sectPr>
      <w:type w:val="nextPage"/>
      <w:pgSz w:h="16840" w:w="11910" w:orient="portrait"/>
      <w:pgMar w:bottom="1140" w:top="1320" w:left="320" w:right="280" w:header="0" w:footer="94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6464300</wp:posOffset>
              </wp:positionH>
              <wp:positionV relativeFrom="paragraph">
                <wp:posOffset>9931400</wp:posOffset>
              </wp:positionV>
              <wp:extent cx="226695" cy="175260"/>
              <wp:effectExtent b="0" l="0" r="0" t="0"/>
              <wp:wrapNone/>
              <wp:docPr id="20" name=""/>
              <a:graphic>
                <a:graphicData uri="http://schemas.microsoft.com/office/word/2010/wordprocessingShape">
                  <wps:wsp>
                    <wps:cNvSpPr/>
                    <wps:cNvPr id="2" name="Shape 2"/>
                    <wps:spPr>
                      <a:xfrm>
                        <a:off x="5237415" y="3697133"/>
                        <a:ext cx="217170" cy="165735"/>
                      </a:xfrm>
                      <a:prstGeom prst="rect">
                        <a:avLst/>
                      </a:prstGeom>
                      <a:noFill/>
                      <a:ln>
                        <a:noFill/>
                      </a:ln>
                    </wps:spPr>
                    <wps:txbx>
                      <w:txbxContent>
                        <w:p w:rsidR="00000000" w:rsidDel="00000000" w:rsidP="00000000" w:rsidRDefault="00000000" w:rsidRPr="00000000">
                          <w:pPr>
                            <w:spacing w:after="0" w:before="10" w:line="240"/>
                            <w:ind w:left="60" w:right="0" w:firstLine="6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6464300</wp:posOffset>
              </wp:positionH>
              <wp:positionV relativeFrom="paragraph">
                <wp:posOffset>9931400</wp:posOffset>
              </wp:positionV>
              <wp:extent cx="226695" cy="175260"/>
              <wp:effectExtent b="0" l="0" r="0" t="0"/>
              <wp:wrapNone/>
              <wp:docPr id="20"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226695" cy="175260"/>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114" w:hanging="302"/>
      </w:pPr>
      <w:rPr>
        <w:rFonts w:ascii="Tahoma" w:cs="Tahoma" w:eastAsia="Tahoma" w:hAnsi="Tahoma"/>
        <w:b w:val="0"/>
        <w:i w:val="0"/>
        <w:sz w:val="18"/>
        <w:szCs w:val="18"/>
      </w:rPr>
    </w:lvl>
    <w:lvl w:ilvl="1">
      <w:start w:val="1"/>
      <w:numFmt w:val="lowerLetter"/>
      <w:lvlText w:val="%2)"/>
      <w:lvlJc w:val="left"/>
      <w:pPr>
        <w:ind w:left="1031" w:hanging="219.0000000000001"/>
      </w:pPr>
      <w:rPr>
        <w:rFonts w:ascii="Tahoma" w:cs="Tahoma" w:eastAsia="Tahoma" w:hAnsi="Tahoma"/>
        <w:b w:val="0"/>
        <w:i w:val="0"/>
        <w:sz w:val="18"/>
        <w:szCs w:val="18"/>
      </w:rPr>
    </w:lvl>
    <w:lvl w:ilvl="2">
      <w:start w:val="0"/>
      <w:numFmt w:val="bullet"/>
      <w:lvlText w:val="•"/>
      <w:lvlJc w:val="left"/>
      <w:pPr>
        <w:ind w:left="2251" w:hanging="219"/>
      </w:pPr>
      <w:rPr/>
    </w:lvl>
    <w:lvl w:ilvl="3">
      <w:start w:val="0"/>
      <w:numFmt w:val="bullet"/>
      <w:lvlText w:val="•"/>
      <w:lvlJc w:val="left"/>
      <w:pPr>
        <w:ind w:left="3383" w:hanging="218.99999999999955"/>
      </w:pPr>
      <w:rPr/>
    </w:lvl>
    <w:lvl w:ilvl="4">
      <w:start w:val="0"/>
      <w:numFmt w:val="bullet"/>
      <w:lvlText w:val="•"/>
      <w:lvlJc w:val="left"/>
      <w:pPr>
        <w:ind w:left="4515" w:hanging="219"/>
      </w:pPr>
      <w:rPr/>
    </w:lvl>
    <w:lvl w:ilvl="5">
      <w:start w:val="0"/>
      <w:numFmt w:val="bullet"/>
      <w:lvlText w:val="•"/>
      <w:lvlJc w:val="left"/>
      <w:pPr>
        <w:ind w:left="5647" w:hanging="218.9999999999991"/>
      </w:pPr>
      <w:rPr/>
    </w:lvl>
    <w:lvl w:ilvl="6">
      <w:start w:val="0"/>
      <w:numFmt w:val="bullet"/>
      <w:lvlText w:val="•"/>
      <w:lvlJc w:val="left"/>
      <w:pPr>
        <w:ind w:left="6779" w:hanging="219"/>
      </w:pPr>
      <w:rPr/>
    </w:lvl>
    <w:lvl w:ilvl="7">
      <w:start w:val="0"/>
      <w:numFmt w:val="bullet"/>
      <w:lvlText w:val="•"/>
      <w:lvlJc w:val="left"/>
      <w:pPr>
        <w:ind w:left="7910" w:hanging="219"/>
      </w:pPr>
      <w:rPr/>
    </w:lvl>
    <w:lvl w:ilvl="8">
      <w:start w:val="0"/>
      <w:numFmt w:val="bullet"/>
      <w:lvlText w:val="•"/>
      <w:lvlJc w:val="left"/>
      <w:pPr>
        <w:ind w:left="9042" w:hanging="219"/>
      </w:pPr>
      <w:rPr/>
    </w:lvl>
  </w:abstractNum>
  <w:abstractNum w:abstractNumId="2">
    <w:lvl w:ilvl="0">
      <w:start w:val="1"/>
      <w:numFmt w:val="lowerLetter"/>
      <w:lvlText w:val="%1)"/>
      <w:lvlJc w:val="left"/>
      <w:pPr>
        <w:ind w:left="1533" w:hanging="360"/>
      </w:pPr>
      <w:rPr>
        <w:rFonts w:ascii="Tahoma" w:cs="Tahoma" w:eastAsia="Tahoma" w:hAnsi="Tahoma"/>
        <w:b w:val="0"/>
        <w:i w:val="0"/>
        <w:sz w:val="18"/>
        <w:szCs w:val="18"/>
      </w:rPr>
    </w:lvl>
    <w:lvl w:ilvl="1">
      <w:start w:val="0"/>
      <w:numFmt w:val="bullet"/>
      <w:lvlText w:val="•"/>
      <w:lvlJc w:val="left"/>
      <w:pPr>
        <w:ind w:left="2516" w:hanging="360"/>
      </w:pPr>
      <w:rPr/>
    </w:lvl>
    <w:lvl w:ilvl="2">
      <w:start w:val="0"/>
      <w:numFmt w:val="bullet"/>
      <w:lvlText w:val="•"/>
      <w:lvlJc w:val="left"/>
      <w:pPr>
        <w:ind w:left="3493" w:hanging="360"/>
      </w:pPr>
      <w:rPr/>
    </w:lvl>
    <w:lvl w:ilvl="3">
      <w:start w:val="0"/>
      <w:numFmt w:val="bullet"/>
      <w:lvlText w:val="•"/>
      <w:lvlJc w:val="left"/>
      <w:pPr>
        <w:ind w:left="4469" w:hanging="360"/>
      </w:pPr>
      <w:rPr/>
    </w:lvl>
    <w:lvl w:ilvl="4">
      <w:start w:val="0"/>
      <w:numFmt w:val="bullet"/>
      <w:lvlText w:val="•"/>
      <w:lvlJc w:val="left"/>
      <w:pPr>
        <w:ind w:left="5446" w:hanging="360"/>
      </w:pPr>
      <w:rPr/>
    </w:lvl>
    <w:lvl w:ilvl="5">
      <w:start w:val="0"/>
      <w:numFmt w:val="bullet"/>
      <w:lvlText w:val="•"/>
      <w:lvlJc w:val="left"/>
      <w:pPr>
        <w:ind w:left="6423" w:hanging="360"/>
      </w:pPr>
      <w:rPr/>
    </w:lvl>
    <w:lvl w:ilvl="6">
      <w:start w:val="0"/>
      <w:numFmt w:val="bullet"/>
      <w:lvlText w:val="•"/>
      <w:lvlJc w:val="left"/>
      <w:pPr>
        <w:ind w:left="7399" w:hanging="360"/>
      </w:pPr>
      <w:rPr/>
    </w:lvl>
    <w:lvl w:ilvl="7">
      <w:start w:val="0"/>
      <w:numFmt w:val="bullet"/>
      <w:lvlText w:val="•"/>
      <w:lvlJc w:val="left"/>
      <w:pPr>
        <w:ind w:left="8376" w:hanging="360"/>
      </w:pPr>
      <w:rPr/>
    </w:lvl>
    <w:lvl w:ilvl="8">
      <w:start w:val="0"/>
      <w:numFmt w:val="bullet"/>
      <w:lvlText w:val="•"/>
      <w:lvlJc w:val="left"/>
      <w:pPr>
        <w:ind w:left="9353" w:hanging="360"/>
      </w:pPr>
      <w:rPr/>
    </w:lvl>
  </w:abstractNum>
  <w:abstractNum w:abstractNumId="3">
    <w:lvl w:ilvl="0">
      <w:start w:val="0"/>
      <w:numFmt w:val="bullet"/>
      <w:lvlText w:val="-"/>
      <w:lvlJc w:val="left"/>
      <w:pPr>
        <w:ind w:left="1379" w:hanging="120"/>
      </w:pPr>
      <w:rPr>
        <w:rFonts w:ascii="Tahoma" w:cs="Tahoma" w:eastAsia="Tahoma" w:hAnsi="Tahoma"/>
        <w:b w:val="0"/>
        <w:i w:val="0"/>
        <w:sz w:val="18"/>
        <w:szCs w:val="18"/>
      </w:rPr>
    </w:lvl>
    <w:lvl w:ilvl="1">
      <w:start w:val="0"/>
      <w:numFmt w:val="bullet"/>
      <w:lvlText w:val="•"/>
      <w:lvlJc w:val="left"/>
      <w:pPr>
        <w:ind w:left="2372" w:hanging="120"/>
      </w:pPr>
      <w:rPr/>
    </w:lvl>
    <w:lvl w:ilvl="2">
      <w:start w:val="0"/>
      <w:numFmt w:val="bullet"/>
      <w:lvlText w:val="•"/>
      <w:lvlJc w:val="left"/>
      <w:pPr>
        <w:ind w:left="3365" w:hanging="120"/>
      </w:pPr>
      <w:rPr/>
    </w:lvl>
    <w:lvl w:ilvl="3">
      <w:start w:val="0"/>
      <w:numFmt w:val="bullet"/>
      <w:lvlText w:val="•"/>
      <w:lvlJc w:val="left"/>
      <w:pPr>
        <w:ind w:left="4357" w:hanging="120"/>
      </w:pPr>
      <w:rPr/>
    </w:lvl>
    <w:lvl w:ilvl="4">
      <w:start w:val="0"/>
      <w:numFmt w:val="bullet"/>
      <w:lvlText w:val="•"/>
      <w:lvlJc w:val="left"/>
      <w:pPr>
        <w:ind w:left="5350" w:hanging="120"/>
      </w:pPr>
      <w:rPr/>
    </w:lvl>
    <w:lvl w:ilvl="5">
      <w:start w:val="0"/>
      <w:numFmt w:val="bullet"/>
      <w:lvlText w:val="•"/>
      <w:lvlJc w:val="left"/>
      <w:pPr>
        <w:ind w:left="6343" w:hanging="120"/>
      </w:pPr>
      <w:rPr/>
    </w:lvl>
    <w:lvl w:ilvl="6">
      <w:start w:val="0"/>
      <w:numFmt w:val="bullet"/>
      <w:lvlText w:val="•"/>
      <w:lvlJc w:val="left"/>
      <w:pPr>
        <w:ind w:left="7335" w:hanging="120"/>
      </w:pPr>
      <w:rPr/>
    </w:lvl>
    <w:lvl w:ilvl="7">
      <w:start w:val="0"/>
      <w:numFmt w:val="bullet"/>
      <w:lvlText w:val="•"/>
      <w:lvlJc w:val="left"/>
      <w:pPr>
        <w:ind w:left="8328" w:hanging="120"/>
      </w:pPr>
      <w:rPr/>
    </w:lvl>
    <w:lvl w:ilvl="8">
      <w:start w:val="0"/>
      <w:numFmt w:val="bullet"/>
      <w:lvlText w:val="•"/>
      <w:lvlJc w:val="left"/>
      <w:pPr>
        <w:ind w:left="9321" w:hanging="120"/>
      </w:pPr>
      <w:rPr/>
    </w:lvl>
  </w:abstractNum>
  <w:abstractNum w:abstractNumId="4">
    <w:lvl w:ilvl="0">
      <w:start w:val="0"/>
      <w:numFmt w:val="bullet"/>
      <w:lvlText w:val="•"/>
      <w:lvlJc w:val="left"/>
      <w:pPr>
        <w:ind w:left="251" w:hanging="144"/>
      </w:pPr>
      <w:rPr>
        <w:rFonts w:ascii="Calibri" w:cs="Calibri" w:eastAsia="Calibri" w:hAnsi="Calibri"/>
        <w:b w:val="0"/>
        <w:i w:val="0"/>
        <w:sz w:val="20"/>
        <w:szCs w:val="20"/>
      </w:rPr>
    </w:lvl>
    <w:lvl w:ilvl="1">
      <w:start w:val="0"/>
      <w:numFmt w:val="bullet"/>
      <w:lvlText w:val="•"/>
      <w:lvlJc w:val="left"/>
      <w:pPr>
        <w:ind w:left="1037" w:hanging="144"/>
      </w:pPr>
      <w:rPr/>
    </w:lvl>
    <w:lvl w:ilvl="2">
      <w:start w:val="0"/>
      <w:numFmt w:val="bullet"/>
      <w:lvlText w:val="•"/>
      <w:lvlJc w:val="left"/>
      <w:pPr>
        <w:ind w:left="1814" w:hanging="144"/>
      </w:pPr>
      <w:rPr/>
    </w:lvl>
    <w:lvl w:ilvl="3">
      <w:start w:val="0"/>
      <w:numFmt w:val="bullet"/>
      <w:lvlText w:val="•"/>
      <w:lvlJc w:val="left"/>
      <w:pPr>
        <w:ind w:left="2592" w:hanging="144"/>
      </w:pPr>
      <w:rPr/>
    </w:lvl>
    <w:lvl w:ilvl="4">
      <w:start w:val="0"/>
      <w:numFmt w:val="bullet"/>
      <w:lvlText w:val="•"/>
      <w:lvlJc w:val="left"/>
      <w:pPr>
        <w:ind w:left="3369" w:hanging="144"/>
      </w:pPr>
      <w:rPr/>
    </w:lvl>
    <w:lvl w:ilvl="5">
      <w:start w:val="0"/>
      <w:numFmt w:val="bullet"/>
      <w:lvlText w:val="•"/>
      <w:lvlJc w:val="left"/>
      <w:pPr>
        <w:ind w:left="4147" w:hanging="144"/>
      </w:pPr>
      <w:rPr/>
    </w:lvl>
    <w:lvl w:ilvl="6">
      <w:start w:val="0"/>
      <w:numFmt w:val="bullet"/>
      <w:lvlText w:val="•"/>
      <w:lvlJc w:val="left"/>
      <w:pPr>
        <w:ind w:left="4924" w:hanging="144"/>
      </w:pPr>
      <w:rPr/>
    </w:lvl>
    <w:lvl w:ilvl="7">
      <w:start w:val="0"/>
      <w:numFmt w:val="bullet"/>
      <w:lvlText w:val="•"/>
      <w:lvlJc w:val="left"/>
      <w:pPr>
        <w:ind w:left="5701" w:hanging="144"/>
      </w:pPr>
      <w:rPr/>
    </w:lvl>
    <w:lvl w:ilvl="8">
      <w:start w:val="0"/>
      <w:numFmt w:val="bullet"/>
      <w:lvlText w:val="•"/>
      <w:lvlJc w:val="left"/>
      <w:pPr>
        <w:ind w:left="6479" w:hanging="144"/>
      </w:pPr>
      <w:rPr/>
    </w:lvl>
  </w:abstractNum>
  <w:abstractNum w:abstractNumId="5">
    <w:lvl w:ilvl="0">
      <w:start w:val="1"/>
      <w:numFmt w:val="upperRoman"/>
      <w:lvlText w:val="%1)"/>
      <w:lvlJc w:val="left"/>
      <w:pPr>
        <w:ind w:left="107" w:hanging="156"/>
      </w:pPr>
      <w:rPr>
        <w:rFonts w:ascii="Calibri" w:cs="Calibri" w:eastAsia="Calibri" w:hAnsi="Calibri"/>
        <w:b w:val="0"/>
        <w:i w:val="0"/>
        <w:sz w:val="20"/>
        <w:szCs w:val="20"/>
      </w:rPr>
    </w:lvl>
    <w:lvl w:ilvl="1">
      <w:start w:val="0"/>
      <w:numFmt w:val="bullet"/>
      <w:lvlText w:val="•"/>
      <w:lvlJc w:val="left"/>
      <w:pPr>
        <w:ind w:left="251" w:hanging="144"/>
      </w:pPr>
      <w:rPr>
        <w:rFonts w:ascii="Calibri" w:cs="Calibri" w:eastAsia="Calibri" w:hAnsi="Calibri"/>
        <w:b w:val="0"/>
        <w:i w:val="0"/>
        <w:sz w:val="20"/>
        <w:szCs w:val="20"/>
      </w:rPr>
    </w:lvl>
    <w:lvl w:ilvl="2">
      <w:start w:val="0"/>
      <w:numFmt w:val="bullet"/>
      <w:lvlText w:val="•"/>
      <w:lvlJc w:val="left"/>
      <w:pPr>
        <w:ind w:left="1123" w:hanging="144.0000000000001"/>
      </w:pPr>
      <w:rPr/>
    </w:lvl>
    <w:lvl w:ilvl="3">
      <w:start w:val="0"/>
      <w:numFmt w:val="bullet"/>
      <w:lvlText w:val="•"/>
      <w:lvlJc w:val="left"/>
      <w:pPr>
        <w:ind w:left="1987" w:hanging="144.00000000000023"/>
      </w:pPr>
      <w:rPr/>
    </w:lvl>
    <w:lvl w:ilvl="4">
      <w:start w:val="0"/>
      <w:numFmt w:val="bullet"/>
      <w:lvlText w:val="•"/>
      <w:lvlJc w:val="left"/>
      <w:pPr>
        <w:ind w:left="2851" w:hanging="143.99999999999955"/>
      </w:pPr>
      <w:rPr/>
    </w:lvl>
    <w:lvl w:ilvl="5">
      <w:start w:val="0"/>
      <w:numFmt w:val="bullet"/>
      <w:lvlText w:val="•"/>
      <w:lvlJc w:val="left"/>
      <w:pPr>
        <w:ind w:left="3715" w:hanging="144"/>
      </w:pPr>
      <w:rPr/>
    </w:lvl>
    <w:lvl w:ilvl="6">
      <w:start w:val="0"/>
      <w:numFmt w:val="bullet"/>
      <w:lvlText w:val="•"/>
      <w:lvlJc w:val="left"/>
      <w:pPr>
        <w:ind w:left="4578" w:hanging="144"/>
      </w:pPr>
      <w:rPr/>
    </w:lvl>
    <w:lvl w:ilvl="7">
      <w:start w:val="0"/>
      <w:numFmt w:val="bullet"/>
      <w:lvlText w:val="•"/>
      <w:lvlJc w:val="left"/>
      <w:pPr>
        <w:ind w:left="5442" w:hanging="143.9999999999991"/>
      </w:pPr>
      <w:rPr/>
    </w:lvl>
    <w:lvl w:ilvl="8">
      <w:start w:val="0"/>
      <w:numFmt w:val="bullet"/>
      <w:lvlText w:val="•"/>
      <w:lvlJc w:val="left"/>
      <w:pPr>
        <w:ind w:left="6306" w:hanging="144"/>
      </w:pPr>
      <w:rPr/>
    </w:lvl>
  </w:abstractNum>
  <w:abstractNum w:abstractNumId="6">
    <w:lvl w:ilvl="0">
      <w:start w:val="0"/>
      <w:numFmt w:val="bullet"/>
      <w:lvlText w:val="□"/>
      <w:lvlJc w:val="left"/>
      <w:pPr>
        <w:ind w:left="1064" w:hanging="567"/>
      </w:pPr>
      <w:rPr>
        <w:rFonts w:ascii="Times New Roman" w:cs="Times New Roman" w:eastAsia="Times New Roman" w:hAnsi="Times New Roman"/>
        <w:sz w:val="20"/>
        <w:szCs w:val="20"/>
      </w:rPr>
    </w:lvl>
    <w:lvl w:ilvl="1">
      <w:start w:val="0"/>
      <w:numFmt w:val="bullet"/>
      <w:lvlText w:val="□"/>
      <w:lvlJc w:val="left"/>
      <w:pPr>
        <w:ind w:left="920" w:hanging="349"/>
      </w:pPr>
      <w:rPr>
        <w:rFonts w:ascii="Noto Sans Symbols" w:cs="Noto Sans Symbols" w:eastAsia="Noto Sans Symbols" w:hAnsi="Noto Sans Symbols"/>
        <w:sz w:val="22"/>
        <w:szCs w:val="22"/>
      </w:rPr>
    </w:lvl>
    <w:lvl w:ilvl="2">
      <w:start w:val="0"/>
      <w:numFmt w:val="bullet"/>
      <w:lvlText w:val="•"/>
      <w:lvlJc w:val="left"/>
      <w:pPr>
        <w:ind w:left="2149" w:hanging="349"/>
      </w:pPr>
      <w:rPr/>
    </w:lvl>
    <w:lvl w:ilvl="3">
      <w:start w:val="0"/>
      <w:numFmt w:val="bullet"/>
      <w:lvlText w:val="•"/>
      <w:lvlJc w:val="left"/>
      <w:pPr>
        <w:ind w:left="3239" w:hanging="349"/>
      </w:pPr>
      <w:rPr/>
    </w:lvl>
    <w:lvl w:ilvl="4">
      <w:start w:val="0"/>
      <w:numFmt w:val="bullet"/>
      <w:lvlText w:val="•"/>
      <w:lvlJc w:val="left"/>
      <w:pPr>
        <w:ind w:left="4328" w:hanging="348.99999999999955"/>
      </w:pPr>
      <w:rPr/>
    </w:lvl>
    <w:lvl w:ilvl="5">
      <w:start w:val="0"/>
      <w:numFmt w:val="bullet"/>
      <w:lvlText w:val="•"/>
      <w:lvlJc w:val="left"/>
      <w:pPr>
        <w:ind w:left="5418" w:hanging="349"/>
      </w:pPr>
      <w:rPr/>
    </w:lvl>
    <w:lvl w:ilvl="6">
      <w:start w:val="0"/>
      <w:numFmt w:val="bullet"/>
      <w:lvlText w:val="•"/>
      <w:lvlJc w:val="left"/>
      <w:pPr>
        <w:ind w:left="6508" w:hanging="349"/>
      </w:pPr>
      <w:rPr/>
    </w:lvl>
    <w:lvl w:ilvl="7">
      <w:start w:val="0"/>
      <w:numFmt w:val="bullet"/>
      <w:lvlText w:val="•"/>
      <w:lvlJc w:val="left"/>
      <w:pPr>
        <w:ind w:left="7597" w:hanging="348.9999999999991"/>
      </w:pPr>
      <w:rPr/>
    </w:lvl>
    <w:lvl w:ilvl="8">
      <w:start w:val="0"/>
      <w:numFmt w:val="bullet"/>
      <w:lvlText w:val="•"/>
      <w:lvlJc w:val="left"/>
      <w:pPr>
        <w:ind w:left="8687" w:hanging="349"/>
      </w:pPr>
      <w:rPr/>
    </w:lvl>
  </w:abstractNum>
  <w:abstractNum w:abstractNumId="7">
    <w:lvl w:ilvl="0">
      <w:start w:val="0"/>
      <w:numFmt w:val="bullet"/>
      <w:lvlText w:val="-"/>
      <w:lvlJc w:val="left"/>
      <w:pPr>
        <w:ind w:left="812" w:hanging="120.99999999999989"/>
      </w:pPr>
      <w:rPr>
        <w:rFonts w:ascii="Tahoma" w:cs="Tahoma" w:eastAsia="Tahoma" w:hAnsi="Tahoma"/>
        <w:b w:val="0"/>
        <w:i w:val="0"/>
        <w:sz w:val="18"/>
        <w:szCs w:val="18"/>
      </w:rPr>
    </w:lvl>
    <w:lvl w:ilvl="1">
      <w:start w:val="0"/>
      <w:numFmt w:val="bullet"/>
      <w:lvlText w:val="•"/>
      <w:lvlJc w:val="left"/>
      <w:pPr>
        <w:ind w:left="1868" w:hanging="120.99999999999977"/>
      </w:pPr>
      <w:rPr/>
    </w:lvl>
    <w:lvl w:ilvl="2">
      <w:start w:val="0"/>
      <w:numFmt w:val="bullet"/>
      <w:lvlText w:val="•"/>
      <w:lvlJc w:val="left"/>
      <w:pPr>
        <w:ind w:left="2917" w:hanging="121.00000000000045"/>
      </w:pPr>
      <w:rPr/>
    </w:lvl>
    <w:lvl w:ilvl="3">
      <w:start w:val="0"/>
      <w:numFmt w:val="bullet"/>
      <w:lvlText w:val="•"/>
      <w:lvlJc w:val="left"/>
      <w:pPr>
        <w:ind w:left="3965" w:hanging="121"/>
      </w:pPr>
      <w:rPr/>
    </w:lvl>
    <w:lvl w:ilvl="4">
      <w:start w:val="0"/>
      <w:numFmt w:val="bullet"/>
      <w:lvlText w:val="•"/>
      <w:lvlJc w:val="left"/>
      <w:pPr>
        <w:ind w:left="5014" w:hanging="121"/>
      </w:pPr>
      <w:rPr/>
    </w:lvl>
    <w:lvl w:ilvl="5">
      <w:start w:val="0"/>
      <w:numFmt w:val="bullet"/>
      <w:lvlText w:val="•"/>
      <w:lvlJc w:val="left"/>
      <w:pPr>
        <w:ind w:left="6063" w:hanging="121.00000000000091"/>
      </w:pPr>
      <w:rPr/>
    </w:lvl>
    <w:lvl w:ilvl="6">
      <w:start w:val="0"/>
      <w:numFmt w:val="bullet"/>
      <w:lvlText w:val="•"/>
      <w:lvlJc w:val="left"/>
      <w:pPr>
        <w:ind w:left="7111" w:hanging="121"/>
      </w:pPr>
      <w:rPr/>
    </w:lvl>
    <w:lvl w:ilvl="7">
      <w:start w:val="0"/>
      <w:numFmt w:val="bullet"/>
      <w:lvlText w:val="•"/>
      <w:lvlJc w:val="left"/>
      <w:pPr>
        <w:ind w:left="8160" w:hanging="121"/>
      </w:pPr>
      <w:rPr/>
    </w:lvl>
    <w:lvl w:ilvl="8">
      <w:start w:val="0"/>
      <w:numFmt w:val="bullet"/>
      <w:lvlText w:val="•"/>
      <w:lvlJc w:val="left"/>
      <w:pPr>
        <w:ind w:left="9209" w:hanging="121"/>
      </w:pPr>
      <w:rPr/>
    </w:lvl>
  </w:abstractNum>
  <w:abstractNum w:abstractNumId="8">
    <w:lvl w:ilvl="0">
      <w:start w:val="0"/>
      <w:numFmt w:val="bullet"/>
      <w:lvlText w:val="-"/>
      <w:lvlJc w:val="left"/>
      <w:pPr>
        <w:ind w:left="1713" w:hanging="360"/>
      </w:pPr>
      <w:rPr>
        <w:rFonts w:ascii="Arial" w:cs="Arial" w:eastAsia="Arial" w:hAnsi="Arial"/>
        <w:b w:val="1"/>
        <w:i w:val="0"/>
        <w:sz w:val="20"/>
        <w:szCs w:val="20"/>
      </w:rPr>
    </w:lvl>
    <w:lvl w:ilvl="1">
      <w:start w:val="0"/>
      <w:numFmt w:val="bullet"/>
      <w:lvlText w:val="•"/>
      <w:lvlJc w:val="left"/>
      <w:pPr>
        <w:ind w:left="2678" w:hanging="360"/>
      </w:pPr>
      <w:rPr/>
    </w:lvl>
    <w:lvl w:ilvl="2">
      <w:start w:val="0"/>
      <w:numFmt w:val="bullet"/>
      <w:lvlText w:val="•"/>
      <w:lvlJc w:val="left"/>
      <w:pPr>
        <w:ind w:left="3637" w:hanging="360"/>
      </w:pPr>
      <w:rPr/>
    </w:lvl>
    <w:lvl w:ilvl="3">
      <w:start w:val="0"/>
      <w:numFmt w:val="bullet"/>
      <w:lvlText w:val="•"/>
      <w:lvlJc w:val="left"/>
      <w:pPr>
        <w:ind w:left="4595" w:hanging="360"/>
      </w:pPr>
      <w:rPr/>
    </w:lvl>
    <w:lvl w:ilvl="4">
      <w:start w:val="0"/>
      <w:numFmt w:val="bullet"/>
      <w:lvlText w:val="•"/>
      <w:lvlJc w:val="left"/>
      <w:pPr>
        <w:ind w:left="5554" w:hanging="360"/>
      </w:pPr>
      <w:rPr/>
    </w:lvl>
    <w:lvl w:ilvl="5">
      <w:start w:val="0"/>
      <w:numFmt w:val="bullet"/>
      <w:lvlText w:val="•"/>
      <w:lvlJc w:val="left"/>
      <w:pPr>
        <w:ind w:left="6513" w:hanging="360"/>
      </w:pPr>
      <w:rPr/>
    </w:lvl>
    <w:lvl w:ilvl="6">
      <w:start w:val="0"/>
      <w:numFmt w:val="bullet"/>
      <w:lvlText w:val="•"/>
      <w:lvlJc w:val="left"/>
      <w:pPr>
        <w:ind w:left="7471" w:hanging="360"/>
      </w:pPr>
      <w:rPr/>
    </w:lvl>
    <w:lvl w:ilvl="7">
      <w:start w:val="0"/>
      <w:numFmt w:val="bullet"/>
      <w:lvlText w:val="•"/>
      <w:lvlJc w:val="left"/>
      <w:pPr>
        <w:ind w:left="8430" w:hanging="360"/>
      </w:pPr>
      <w:rPr/>
    </w:lvl>
    <w:lvl w:ilvl="8">
      <w:start w:val="0"/>
      <w:numFmt w:val="bullet"/>
      <w:lvlText w:val="•"/>
      <w:lvlJc w:val="left"/>
      <w:pPr>
        <w:ind w:left="9389"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22"/>
        <w:szCs w:val="22"/>
        <w:lang w:val="it-IT"/>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before="27" w:lineRule="auto"/>
      <w:ind w:left="2865" w:right="255" w:hanging="1277"/>
    </w:pPr>
    <w:rPr>
      <w:rFonts w:ascii="Calibri" w:cs="Calibri" w:eastAsia="Calibri" w:hAnsi="Calibri"/>
      <w:b w:val="1"/>
      <w:sz w:val="28"/>
      <w:szCs w:val="28"/>
    </w:rPr>
  </w:style>
  <w:style w:type="paragraph" w:styleId="Normale" w:default="1">
    <w:name w:val="Normal"/>
    <w:uiPriority w:val="1"/>
    <w:qFormat w:val="1"/>
    <w:rPr>
      <w:rFonts w:ascii="Tahoma" w:cs="Tahoma" w:eastAsia="Tahoma" w:hAnsi="Tahoma"/>
      <w:lang w:val="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uiPriority w:val="2"/>
    <w:semiHidden w:val="1"/>
    <w:unhideWhenUsed w:val="1"/>
    <w:qFormat w:val="1"/>
    <w:tblPr>
      <w:tblInd w:w="0.0" w:type="dxa"/>
      <w:tblCellMar>
        <w:top w:w="0.0" w:type="dxa"/>
        <w:left w:w="0.0" w:type="dxa"/>
        <w:bottom w:w="0.0" w:type="dxa"/>
        <w:right w:w="0.0" w:type="dxa"/>
      </w:tblCellMar>
    </w:tblPr>
  </w:style>
  <w:style w:type="paragraph" w:styleId="Corpotesto">
    <w:name w:val="Body Text"/>
    <w:basedOn w:val="Normale"/>
    <w:uiPriority w:val="1"/>
    <w:qFormat w:val="1"/>
    <w:pPr>
      <w:ind w:left="812"/>
      <w:jc w:val="both"/>
    </w:pPr>
    <w:rPr>
      <w:sz w:val="18"/>
      <w:szCs w:val="18"/>
    </w:rPr>
  </w:style>
  <w:style w:type="paragraph" w:styleId="Titolo">
    <w:name w:val="Title"/>
    <w:basedOn w:val="Normale"/>
    <w:uiPriority w:val="1"/>
    <w:qFormat w:val="1"/>
    <w:pPr>
      <w:spacing w:before="27"/>
      <w:ind w:left="2865" w:right="255" w:hanging="1277"/>
    </w:pPr>
    <w:rPr>
      <w:rFonts w:ascii="Calibri" w:cs="Calibri" w:eastAsia="Calibri" w:hAnsi="Calibri"/>
      <w:b w:val="1"/>
      <w:bCs w:val="1"/>
      <w:sz w:val="28"/>
      <w:szCs w:val="28"/>
    </w:rPr>
  </w:style>
  <w:style w:type="paragraph" w:styleId="Paragrafoelenco">
    <w:name w:val="List Paragraph"/>
    <w:basedOn w:val="Normale"/>
    <w:uiPriority w:val="1"/>
    <w:qFormat w:val="1"/>
    <w:pPr>
      <w:ind w:left="812"/>
      <w:jc w:val="both"/>
    </w:pPr>
  </w:style>
  <w:style w:type="paragraph" w:styleId="TableParagraph" w:customStyle="1">
    <w:name w:val="Table Paragraph"/>
    <w:basedOn w:val="Normale"/>
    <w:uiPriority w:val="1"/>
    <w:qFormat w:val="1"/>
    <w:rPr>
      <w:rFonts w:ascii="Calibri" w:cs="Calibri" w:eastAsia="Calibri" w:hAnsi="Calibri"/>
    </w:rPr>
  </w:style>
  <w:style w:type="paragraph" w:styleId="Intestazione">
    <w:name w:val="header"/>
    <w:basedOn w:val="Normale"/>
    <w:link w:val="IntestazioneCarattere"/>
    <w:uiPriority w:val="99"/>
    <w:unhideWhenUsed w:val="1"/>
    <w:rsid w:val="003D6AA8"/>
    <w:pPr>
      <w:tabs>
        <w:tab w:val="center" w:pos="4819"/>
        <w:tab w:val="right" w:pos="9638"/>
      </w:tabs>
    </w:pPr>
  </w:style>
  <w:style w:type="character" w:styleId="IntestazioneCarattere" w:customStyle="1">
    <w:name w:val="Intestazione Carattere"/>
    <w:basedOn w:val="Carpredefinitoparagrafo"/>
    <w:link w:val="Intestazione"/>
    <w:uiPriority w:val="99"/>
    <w:rsid w:val="003D6AA8"/>
    <w:rPr>
      <w:rFonts w:ascii="Tahoma" w:cs="Tahoma" w:eastAsia="Tahoma" w:hAnsi="Tahoma"/>
      <w:lang w:val="it-IT"/>
    </w:rPr>
  </w:style>
  <w:style w:type="paragraph" w:styleId="Pidipagina">
    <w:name w:val="footer"/>
    <w:basedOn w:val="Normale"/>
    <w:link w:val="PidipaginaCarattere"/>
    <w:uiPriority w:val="99"/>
    <w:unhideWhenUsed w:val="1"/>
    <w:rsid w:val="003D6AA8"/>
    <w:pPr>
      <w:tabs>
        <w:tab w:val="center" w:pos="4819"/>
        <w:tab w:val="right" w:pos="9638"/>
      </w:tabs>
    </w:pPr>
  </w:style>
  <w:style w:type="character" w:styleId="PidipaginaCarattere" w:customStyle="1">
    <w:name w:val="Piè di pagina Carattere"/>
    <w:basedOn w:val="Carpredefinitoparagrafo"/>
    <w:link w:val="Pidipagina"/>
    <w:uiPriority w:val="99"/>
    <w:rsid w:val="003D6AA8"/>
    <w:rPr>
      <w:rFonts w:ascii="Tahoma" w:cs="Tahoma" w:eastAsia="Tahoma" w:hAnsi="Tahoma"/>
      <w:lang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3.png"/><Relationship Id="rId10" Type="http://schemas.openxmlformats.org/officeDocument/2006/relationships/image" Target="media/image4.png"/><Relationship Id="rId12" Type="http://schemas.openxmlformats.org/officeDocument/2006/relationships/image" Target="media/image5.png"/><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3bNRdE7mLWNdRtszaa1TVZ/RtLw==">CgMxLjAyCGguZ2pkZ3hzOAByITFObE9PaGRMdnc5NUJENkI2MHRJcmg4ZmVsSEtyOG9vTA==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2024-02-06T14:09:00Z</dcterms:created>
  <dc:creator>User</dc:creator>
</cp:coreProperties>
</file>